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42697" w14:textId="77777777" w:rsidR="00AD50AB" w:rsidRDefault="00AD50AB" w:rsidP="00937590">
      <w:pPr>
        <w:shd w:val="clear" w:color="auto" w:fill="FFFFFF"/>
        <w:spacing w:before="120" w:after="0" w:line="240" w:lineRule="auto"/>
        <w:rPr>
          <w:rFonts w:ascii="Arial" w:eastAsia="Times New Roman" w:hAnsi="Arial" w:cs="Arial"/>
          <w:b/>
          <w:bCs/>
          <w:color w:val="202122"/>
          <w:sz w:val="44"/>
          <w:szCs w:val="44"/>
          <w:lang w:eastAsia="es-AR"/>
        </w:rPr>
      </w:pPr>
      <w:r>
        <w:rPr>
          <w:rFonts w:ascii="Arial" w:eastAsia="Times New Roman" w:hAnsi="Arial" w:cs="Arial"/>
          <w:b/>
          <w:bCs/>
          <w:noProof/>
          <w:color w:val="202122"/>
          <w:sz w:val="44"/>
          <w:szCs w:val="44"/>
          <w:lang w:eastAsia="es-AR"/>
        </w:rPr>
        <w:drawing>
          <wp:inline distT="0" distB="0" distL="0" distR="0" wp14:anchorId="3C55A6D1" wp14:editId="3CED6BAE">
            <wp:extent cx="5400040" cy="54000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4-22 at 14.59.51.jpeg"/>
                    <pic:cNvPicPr/>
                  </pic:nvPicPr>
                  <pic:blipFill>
                    <a:blip r:embed="rId6">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11993A89" w14:textId="77777777" w:rsidR="00AD50AB" w:rsidRDefault="00AD50AB" w:rsidP="00937590">
      <w:pPr>
        <w:shd w:val="clear" w:color="auto" w:fill="FFFFFF"/>
        <w:spacing w:before="120" w:after="0" w:line="240" w:lineRule="auto"/>
        <w:rPr>
          <w:rFonts w:ascii="Arial" w:eastAsia="Times New Roman" w:hAnsi="Arial" w:cs="Arial"/>
          <w:b/>
          <w:bCs/>
          <w:color w:val="202122"/>
          <w:sz w:val="44"/>
          <w:szCs w:val="44"/>
          <w:lang w:eastAsia="es-AR"/>
        </w:rPr>
      </w:pPr>
    </w:p>
    <w:p w14:paraId="3E675EC7" w14:textId="77777777" w:rsidR="00321F5A" w:rsidRDefault="00937590" w:rsidP="00937590">
      <w:pPr>
        <w:shd w:val="clear" w:color="auto" w:fill="FFFFFF"/>
        <w:spacing w:before="120" w:after="0" w:line="240" w:lineRule="auto"/>
        <w:rPr>
          <w:rFonts w:ascii="Arial" w:eastAsia="Times New Roman" w:hAnsi="Arial" w:cs="Arial"/>
          <w:color w:val="202122"/>
          <w:sz w:val="21"/>
          <w:szCs w:val="21"/>
          <w:lang w:eastAsia="es-AR"/>
        </w:rPr>
      </w:pPr>
      <w:r w:rsidRPr="00937590">
        <w:rPr>
          <w:rFonts w:ascii="Arial" w:eastAsia="Times New Roman" w:hAnsi="Arial" w:cs="Arial"/>
          <w:b/>
          <w:bCs/>
          <w:color w:val="202122"/>
          <w:sz w:val="44"/>
          <w:szCs w:val="44"/>
          <w:lang w:eastAsia="es-AR"/>
        </w:rPr>
        <w:t>Walter David Bulacio</w:t>
      </w:r>
      <w:r w:rsidRPr="00937590">
        <w:rPr>
          <w:rFonts w:ascii="Arial" w:eastAsia="Times New Roman" w:hAnsi="Arial" w:cs="Arial"/>
          <w:color w:val="202122"/>
          <w:sz w:val="21"/>
          <w:szCs w:val="21"/>
          <w:lang w:eastAsia="es-AR"/>
        </w:rPr>
        <w:t> (12 de noviembre de 1973 – </w:t>
      </w:r>
      <w:hyperlink r:id="rId7" w:tooltip="Buenos Aires" w:history="1">
        <w:r w:rsidRPr="00937590">
          <w:rPr>
            <w:rFonts w:ascii="Arial" w:eastAsia="Times New Roman" w:hAnsi="Arial" w:cs="Arial"/>
            <w:color w:val="3366CC"/>
            <w:sz w:val="21"/>
            <w:szCs w:val="21"/>
            <w:lang w:eastAsia="es-AR"/>
          </w:rPr>
          <w:t>Buenos Aires</w:t>
        </w:r>
      </w:hyperlink>
      <w:r w:rsidRPr="00937590">
        <w:rPr>
          <w:rFonts w:ascii="Arial" w:eastAsia="Times New Roman" w:hAnsi="Arial" w:cs="Arial"/>
          <w:color w:val="202122"/>
          <w:sz w:val="21"/>
          <w:szCs w:val="21"/>
          <w:lang w:eastAsia="es-AR"/>
        </w:rPr>
        <w:t>, </w:t>
      </w:r>
      <w:hyperlink r:id="rId8" w:tooltip="Argentina" w:history="1">
        <w:r w:rsidRPr="00937590">
          <w:rPr>
            <w:rFonts w:ascii="Arial" w:eastAsia="Times New Roman" w:hAnsi="Arial" w:cs="Arial"/>
            <w:color w:val="3366CC"/>
            <w:sz w:val="21"/>
            <w:szCs w:val="21"/>
            <w:lang w:eastAsia="es-AR"/>
          </w:rPr>
          <w:t>Argentina</w:t>
        </w:r>
      </w:hyperlink>
      <w:r w:rsidRPr="00937590">
        <w:rPr>
          <w:rFonts w:ascii="Arial" w:eastAsia="Times New Roman" w:hAnsi="Arial" w:cs="Arial"/>
          <w:color w:val="202122"/>
          <w:sz w:val="21"/>
          <w:szCs w:val="21"/>
          <w:lang w:eastAsia="es-AR"/>
        </w:rPr>
        <w:t>, 26 de abril de 1991)</w:t>
      </w:r>
      <w:r w:rsidR="00321F5A" w:rsidRPr="00937590">
        <w:rPr>
          <w:rFonts w:ascii="Arial" w:eastAsia="Times New Roman" w:hAnsi="Arial" w:cs="Arial"/>
          <w:color w:val="202122"/>
          <w:sz w:val="21"/>
          <w:szCs w:val="21"/>
          <w:lang w:eastAsia="es-AR"/>
        </w:rPr>
        <w:t xml:space="preserve"> </w:t>
      </w:r>
    </w:p>
    <w:p w14:paraId="1EABDD4C" w14:textId="77777777" w:rsidR="00937590" w:rsidRPr="00937590" w:rsidRDefault="00321F5A" w:rsidP="003C622C">
      <w:pPr>
        <w:shd w:val="clear" w:color="auto" w:fill="FFFFFF"/>
        <w:spacing w:before="120" w:after="0" w:line="240" w:lineRule="auto"/>
        <w:jc w:val="both"/>
        <w:rPr>
          <w:rFonts w:ascii="Arial" w:eastAsia="Times New Roman" w:hAnsi="Arial" w:cs="Arial"/>
          <w:sz w:val="21"/>
          <w:szCs w:val="21"/>
          <w:lang w:eastAsia="es-AR"/>
        </w:rPr>
      </w:pPr>
      <w:r>
        <w:rPr>
          <w:rFonts w:ascii="Arial" w:eastAsia="Times New Roman" w:hAnsi="Arial" w:cs="Arial"/>
          <w:color w:val="202122"/>
          <w:sz w:val="21"/>
          <w:szCs w:val="21"/>
          <w:lang w:eastAsia="es-AR"/>
        </w:rPr>
        <w:t>F</w:t>
      </w:r>
      <w:r w:rsidR="00937590" w:rsidRPr="00937590">
        <w:rPr>
          <w:rFonts w:ascii="Arial" w:eastAsia="Times New Roman" w:hAnsi="Arial" w:cs="Arial"/>
          <w:color w:val="202122"/>
          <w:sz w:val="21"/>
          <w:szCs w:val="21"/>
          <w:lang w:eastAsia="es-AR"/>
        </w:rPr>
        <w:t>ue un joven argentino cuyo asesinato a manos de agentes de la </w:t>
      </w:r>
      <w:hyperlink r:id="rId9" w:tooltip="Policía Federal Argentina" w:history="1">
        <w:r w:rsidR="00937590" w:rsidRPr="00321F5A">
          <w:rPr>
            <w:rFonts w:ascii="Arial" w:eastAsia="Times New Roman" w:hAnsi="Arial" w:cs="Arial"/>
            <w:sz w:val="21"/>
            <w:szCs w:val="21"/>
            <w:lang w:eastAsia="es-AR"/>
          </w:rPr>
          <w:t>Policía Federal Argentina</w:t>
        </w:r>
      </w:hyperlink>
      <w:r w:rsidR="00937590" w:rsidRPr="00937590">
        <w:rPr>
          <w:rFonts w:ascii="Arial" w:eastAsia="Times New Roman" w:hAnsi="Arial" w:cs="Arial"/>
          <w:sz w:val="21"/>
          <w:szCs w:val="21"/>
          <w:lang w:eastAsia="es-AR"/>
        </w:rPr>
        <w:t> se convirtió en un caso emblemático de brutalidad policial, llegando a la </w:t>
      </w:r>
      <w:hyperlink r:id="rId10" w:tooltip="Corte Interamericana de Derechos Humanos" w:history="1">
        <w:r w:rsidR="00937590" w:rsidRPr="00321F5A">
          <w:rPr>
            <w:rFonts w:ascii="Arial" w:eastAsia="Times New Roman" w:hAnsi="Arial" w:cs="Arial"/>
            <w:sz w:val="21"/>
            <w:szCs w:val="21"/>
            <w:lang w:eastAsia="es-AR"/>
          </w:rPr>
          <w:t>Corte Interamericana de Derechos Humanos</w:t>
        </w:r>
      </w:hyperlink>
      <w:r w:rsidR="00937590" w:rsidRPr="00937590">
        <w:rPr>
          <w:rFonts w:ascii="Arial" w:eastAsia="Times New Roman" w:hAnsi="Arial" w:cs="Arial"/>
          <w:sz w:val="21"/>
          <w:szCs w:val="21"/>
          <w:lang w:eastAsia="es-AR"/>
        </w:rPr>
        <w:t>.</w:t>
      </w:r>
    </w:p>
    <w:p w14:paraId="425580C1" w14:textId="361B6B38" w:rsidR="000A5482" w:rsidRPr="00AD50AB" w:rsidRDefault="00937590" w:rsidP="00AD50AB">
      <w:pPr>
        <w:shd w:val="clear" w:color="auto" w:fill="FFFFFF"/>
        <w:spacing w:before="120" w:after="0" w:line="240" w:lineRule="auto"/>
        <w:jc w:val="both"/>
        <w:rPr>
          <w:rFonts w:ascii="Arial" w:eastAsia="Times New Roman" w:hAnsi="Arial" w:cs="Arial"/>
          <w:sz w:val="21"/>
          <w:szCs w:val="21"/>
          <w:lang w:eastAsia="es-AR"/>
        </w:rPr>
      </w:pPr>
      <w:r w:rsidRPr="00937590">
        <w:rPr>
          <w:rFonts w:ascii="Arial" w:eastAsia="Times New Roman" w:hAnsi="Arial" w:cs="Arial"/>
          <w:sz w:val="21"/>
          <w:szCs w:val="21"/>
          <w:lang w:eastAsia="es-AR"/>
        </w:rPr>
        <w:t>Bulacio se encontraba entre la concurrencia del recital que la banda de rock </w:t>
      </w:r>
      <w:hyperlink r:id="rId11" w:tooltip="Patricio Rey y sus Redonditos de Ricota" w:history="1">
        <w:r w:rsidRPr="00321F5A">
          <w:rPr>
            <w:rFonts w:ascii="Arial" w:eastAsia="Times New Roman" w:hAnsi="Arial" w:cs="Arial"/>
            <w:sz w:val="21"/>
            <w:szCs w:val="21"/>
            <w:lang w:eastAsia="es-AR"/>
          </w:rPr>
          <w:t>Patricio Rey y sus Redonditos de Ricota</w:t>
        </w:r>
      </w:hyperlink>
      <w:r w:rsidRPr="00937590">
        <w:rPr>
          <w:rFonts w:ascii="Arial" w:eastAsia="Times New Roman" w:hAnsi="Arial" w:cs="Arial"/>
          <w:sz w:val="21"/>
          <w:szCs w:val="21"/>
          <w:lang w:eastAsia="es-AR"/>
        </w:rPr>
        <w:t> ofrecía el 19 de abril de ese año en el </w:t>
      </w:r>
      <w:hyperlink r:id="rId12" w:tooltip="Estadio Obras Sanitarias" w:history="1">
        <w:r w:rsidRPr="00321F5A">
          <w:rPr>
            <w:rFonts w:ascii="Arial" w:eastAsia="Times New Roman" w:hAnsi="Arial" w:cs="Arial"/>
            <w:sz w:val="21"/>
            <w:szCs w:val="21"/>
            <w:lang w:eastAsia="es-AR"/>
          </w:rPr>
          <w:t>Estadio Obras Sanitarias</w:t>
        </w:r>
      </w:hyperlink>
      <w:r w:rsidRPr="00937590">
        <w:rPr>
          <w:rFonts w:ascii="Arial" w:eastAsia="Times New Roman" w:hAnsi="Arial" w:cs="Arial"/>
          <w:sz w:val="21"/>
          <w:szCs w:val="21"/>
          <w:lang w:eastAsia="es-AR"/>
        </w:rPr>
        <w:t> de </w:t>
      </w:r>
      <w:hyperlink r:id="rId13" w:tooltip="Buenos Aires" w:history="1">
        <w:r w:rsidRPr="00321F5A">
          <w:rPr>
            <w:rFonts w:ascii="Arial" w:eastAsia="Times New Roman" w:hAnsi="Arial" w:cs="Arial"/>
            <w:sz w:val="21"/>
            <w:szCs w:val="21"/>
            <w:lang w:eastAsia="es-AR"/>
          </w:rPr>
          <w:t>Buenos Aires</w:t>
        </w:r>
      </w:hyperlink>
      <w:r w:rsidRPr="00937590">
        <w:rPr>
          <w:rFonts w:ascii="Arial" w:eastAsia="Times New Roman" w:hAnsi="Arial" w:cs="Arial"/>
          <w:sz w:val="21"/>
          <w:szCs w:val="21"/>
          <w:lang w:eastAsia="es-AR"/>
        </w:rPr>
        <w:t>. Una </w:t>
      </w:r>
      <w:hyperlink r:id="rId14" w:tooltip="Razzia" w:history="1">
        <w:r w:rsidRPr="00321F5A">
          <w:rPr>
            <w:rFonts w:ascii="Arial" w:eastAsia="Times New Roman" w:hAnsi="Arial" w:cs="Arial"/>
            <w:i/>
            <w:iCs/>
            <w:sz w:val="21"/>
            <w:szCs w:val="21"/>
            <w:lang w:eastAsia="es-AR"/>
          </w:rPr>
          <w:t>razzia</w:t>
        </w:r>
      </w:hyperlink>
      <w:r w:rsidRPr="00937590">
        <w:rPr>
          <w:rFonts w:ascii="Arial" w:eastAsia="Times New Roman" w:hAnsi="Arial" w:cs="Arial"/>
          <w:sz w:val="21"/>
          <w:szCs w:val="21"/>
          <w:lang w:eastAsia="es-AR"/>
        </w:rPr>
        <w:t> encomendada al personal de la Seccional 35.ª, a la sazón a cargo del </w:t>
      </w:r>
      <w:hyperlink r:id="rId15" w:tooltip="Comisario" w:history="1">
        <w:r w:rsidRPr="00321F5A">
          <w:rPr>
            <w:rFonts w:ascii="Arial" w:eastAsia="Times New Roman" w:hAnsi="Arial" w:cs="Arial"/>
            <w:sz w:val="21"/>
            <w:szCs w:val="21"/>
            <w:lang w:eastAsia="es-AR"/>
          </w:rPr>
          <w:t>comisario</w:t>
        </w:r>
      </w:hyperlink>
      <w:r w:rsidRPr="00937590">
        <w:rPr>
          <w:rFonts w:ascii="Arial" w:eastAsia="Times New Roman" w:hAnsi="Arial" w:cs="Arial"/>
          <w:sz w:val="21"/>
          <w:szCs w:val="21"/>
          <w:lang w:eastAsia="es-AR"/>
        </w:rPr>
        <w:t> Miguel Ángel Espósito, lo detuvo a efectos de averiguación de antecedentes. Aunque la </w:t>
      </w:r>
      <w:hyperlink r:id="rId16" w:tooltip="Ley Nº 10.903 de Patronato de Menores (aún no redactado)" w:history="1">
        <w:r w:rsidRPr="00321F5A">
          <w:rPr>
            <w:rFonts w:ascii="Arial" w:eastAsia="Times New Roman" w:hAnsi="Arial" w:cs="Arial"/>
            <w:sz w:val="21"/>
            <w:szCs w:val="21"/>
            <w:lang w:eastAsia="es-AR"/>
          </w:rPr>
          <w:t>Ley de Patronato de Menores</w:t>
        </w:r>
      </w:hyperlink>
      <w:r w:rsidRPr="00937590">
        <w:rPr>
          <w:rFonts w:ascii="Arial" w:eastAsia="Times New Roman" w:hAnsi="Arial" w:cs="Arial"/>
          <w:sz w:val="21"/>
          <w:szCs w:val="21"/>
          <w:lang w:eastAsia="es-AR"/>
        </w:rPr>
        <w:t> prohíbe la detención de </w:t>
      </w:r>
      <w:hyperlink r:id="rId17" w:tooltip="Menor de edad" w:history="1">
        <w:r w:rsidRPr="00321F5A">
          <w:rPr>
            <w:rFonts w:ascii="Arial" w:eastAsia="Times New Roman" w:hAnsi="Arial" w:cs="Arial"/>
            <w:sz w:val="21"/>
            <w:szCs w:val="21"/>
            <w:lang w:eastAsia="es-AR"/>
          </w:rPr>
          <w:t>menores</w:t>
        </w:r>
      </w:hyperlink>
      <w:r w:rsidRPr="00937590">
        <w:rPr>
          <w:rFonts w:ascii="Arial" w:eastAsia="Times New Roman" w:hAnsi="Arial" w:cs="Arial"/>
          <w:sz w:val="21"/>
          <w:szCs w:val="21"/>
          <w:lang w:eastAsia="es-AR"/>
        </w:rPr>
        <w:t> sin intervención del </w:t>
      </w:r>
      <w:hyperlink r:id="rId18" w:tooltip="Juez" w:history="1">
        <w:r w:rsidRPr="00321F5A">
          <w:rPr>
            <w:rFonts w:ascii="Arial" w:eastAsia="Times New Roman" w:hAnsi="Arial" w:cs="Arial"/>
            <w:sz w:val="21"/>
            <w:szCs w:val="21"/>
            <w:lang w:eastAsia="es-AR"/>
          </w:rPr>
          <w:t>juez</w:t>
        </w:r>
      </w:hyperlink>
      <w:r w:rsidRPr="00937590">
        <w:rPr>
          <w:rFonts w:ascii="Arial" w:eastAsia="Times New Roman" w:hAnsi="Arial" w:cs="Arial"/>
          <w:sz w:val="21"/>
          <w:szCs w:val="21"/>
          <w:lang w:eastAsia="es-AR"/>
        </w:rPr>
        <w:t> </w:t>
      </w:r>
      <w:hyperlink r:id="rId19" w:tooltip="Competencia judicial" w:history="1">
        <w:r w:rsidRPr="00321F5A">
          <w:rPr>
            <w:rFonts w:ascii="Arial" w:eastAsia="Times New Roman" w:hAnsi="Arial" w:cs="Arial"/>
            <w:sz w:val="21"/>
            <w:szCs w:val="21"/>
            <w:lang w:eastAsia="es-AR"/>
          </w:rPr>
          <w:t>competente</w:t>
        </w:r>
      </w:hyperlink>
      <w:r w:rsidRPr="00937590">
        <w:rPr>
          <w:rFonts w:ascii="Arial" w:eastAsia="Times New Roman" w:hAnsi="Arial" w:cs="Arial"/>
          <w:sz w:val="21"/>
          <w:szCs w:val="21"/>
          <w:lang w:eastAsia="es-AR"/>
        </w:rPr>
        <w:t>, Bulacio fue retenido en la comisaría; lo sacarían de allí recién a la mañana siguiente, rumbo al </w:t>
      </w:r>
      <w:hyperlink r:id="rId20" w:tooltip="Hospital Pirovano" w:history="1">
        <w:r w:rsidRPr="00321F5A">
          <w:rPr>
            <w:rFonts w:ascii="Arial" w:eastAsia="Times New Roman" w:hAnsi="Arial" w:cs="Arial"/>
            <w:sz w:val="21"/>
            <w:szCs w:val="21"/>
            <w:lang w:eastAsia="es-AR"/>
          </w:rPr>
          <w:t>Hospital Pirovano</w:t>
        </w:r>
      </w:hyperlink>
      <w:r w:rsidRPr="00937590">
        <w:rPr>
          <w:rFonts w:ascii="Arial" w:eastAsia="Times New Roman" w:hAnsi="Arial" w:cs="Arial"/>
          <w:sz w:val="21"/>
          <w:szCs w:val="21"/>
          <w:lang w:eastAsia="es-AR"/>
        </w:rPr>
        <w:t>. Le fue diagnosticado </w:t>
      </w:r>
      <w:hyperlink r:id="rId21" w:tooltip="Traumatismo" w:history="1">
        <w:r w:rsidRPr="00321F5A">
          <w:rPr>
            <w:rFonts w:ascii="Arial" w:eastAsia="Times New Roman" w:hAnsi="Arial" w:cs="Arial"/>
            <w:sz w:val="21"/>
            <w:szCs w:val="21"/>
            <w:lang w:eastAsia="es-AR"/>
          </w:rPr>
          <w:t>traumatismo</w:t>
        </w:r>
      </w:hyperlink>
      <w:r w:rsidRPr="00937590">
        <w:rPr>
          <w:rFonts w:ascii="Arial" w:eastAsia="Times New Roman" w:hAnsi="Arial" w:cs="Arial"/>
          <w:sz w:val="21"/>
          <w:szCs w:val="21"/>
          <w:lang w:eastAsia="es-AR"/>
        </w:rPr>
        <w:t> </w:t>
      </w:r>
      <w:hyperlink r:id="rId22" w:tooltip="Cráneo" w:history="1">
        <w:r w:rsidRPr="00321F5A">
          <w:rPr>
            <w:rFonts w:ascii="Arial" w:eastAsia="Times New Roman" w:hAnsi="Arial" w:cs="Arial"/>
            <w:sz w:val="21"/>
            <w:szCs w:val="21"/>
            <w:lang w:eastAsia="es-AR"/>
          </w:rPr>
          <w:t>craneano</w:t>
        </w:r>
      </w:hyperlink>
      <w:r w:rsidRPr="00937590">
        <w:rPr>
          <w:rFonts w:ascii="Arial" w:eastAsia="Times New Roman" w:hAnsi="Arial" w:cs="Arial"/>
          <w:sz w:val="21"/>
          <w:szCs w:val="21"/>
          <w:lang w:eastAsia="es-AR"/>
        </w:rPr>
        <w:t xml:space="preserve"> y le indicó al médico que lo atendió que había </w:t>
      </w:r>
      <w:r w:rsidR="003C622C">
        <w:rPr>
          <w:rFonts w:ascii="Arial" w:eastAsia="Times New Roman" w:hAnsi="Arial" w:cs="Arial"/>
          <w:sz w:val="21"/>
          <w:szCs w:val="21"/>
          <w:lang w:eastAsia="es-AR"/>
        </w:rPr>
        <w:t xml:space="preserve">sido torturado por la policía. </w:t>
      </w:r>
      <w:r w:rsidRPr="00937590">
        <w:rPr>
          <w:rFonts w:ascii="Arial" w:eastAsia="Times New Roman" w:hAnsi="Arial" w:cs="Arial"/>
          <w:sz w:val="21"/>
          <w:szCs w:val="21"/>
          <w:lang w:eastAsia="es-AR"/>
        </w:rPr>
        <w:t xml:space="preserve">Murió </w:t>
      </w:r>
      <w:r w:rsidR="00493EFE">
        <w:rPr>
          <w:rFonts w:ascii="Arial" w:eastAsia="Times New Roman" w:hAnsi="Arial" w:cs="Arial"/>
          <w:sz w:val="21"/>
          <w:szCs w:val="21"/>
          <w:lang w:eastAsia="es-AR"/>
        </w:rPr>
        <w:t>siete</w:t>
      </w:r>
      <w:r w:rsidRPr="00937590">
        <w:rPr>
          <w:rFonts w:ascii="Arial" w:eastAsia="Times New Roman" w:hAnsi="Arial" w:cs="Arial"/>
          <w:sz w:val="21"/>
          <w:szCs w:val="21"/>
          <w:lang w:eastAsia="es-AR"/>
        </w:rPr>
        <w:t xml:space="preserve"> días más tarde, tras haber sido trasladado a otro nosocomio; la </w:t>
      </w:r>
      <w:hyperlink r:id="rId23" w:tooltip="Autopsia" w:history="1">
        <w:r w:rsidRPr="00321F5A">
          <w:rPr>
            <w:rFonts w:ascii="Arial" w:eastAsia="Times New Roman" w:hAnsi="Arial" w:cs="Arial"/>
            <w:sz w:val="21"/>
            <w:szCs w:val="21"/>
            <w:lang w:eastAsia="es-AR"/>
          </w:rPr>
          <w:t>autopsia</w:t>
        </w:r>
      </w:hyperlink>
      <w:r w:rsidRPr="00937590">
        <w:rPr>
          <w:rFonts w:ascii="Arial" w:eastAsia="Times New Roman" w:hAnsi="Arial" w:cs="Arial"/>
          <w:sz w:val="21"/>
          <w:szCs w:val="21"/>
          <w:lang w:eastAsia="es-AR"/>
        </w:rPr>
        <w:t> encontró huellas inequívocas de golpe con objetos contundentes en miembros, torso, cabeza y extremida</w:t>
      </w:r>
      <w:r w:rsidR="00AD50AB">
        <w:rPr>
          <w:rFonts w:ascii="Arial" w:eastAsia="Times New Roman" w:hAnsi="Arial" w:cs="Arial"/>
          <w:sz w:val="21"/>
          <w:szCs w:val="21"/>
          <w:lang w:eastAsia="es-AR"/>
        </w:rPr>
        <w:t>des.</w:t>
      </w:r>
    </w:p>
    <w:p w14:paraId="65394547" w14:textId="77777777" w:rsidR="000A5482" w:rsidRPr="000A5482" w:rsidRDefault="000A5482" w:rsidP="003C622C">
      <w:pPr>
        <w:pBdr>
          <w:bottom w:val="single" w:sz="6" w:space="7" w:color="A2A9B1"/>
        </w:pBdr>
        <w:shd w:val="clear" w:color="auto" w:fill="FFFFFF"/>
        <w:spacing w:before="60" w:after="60" w:line="240" w:lineRule="auto"/>
        <w:jc w:val="both"/>
        <w:outlineLvl w:val="1"/>
        <w:rPr>
          <w:rFonts w:ascii="Georgia" w:eastAsia="Times New Roman" w:hAnsi="Georgia" w:cs="Times New Roman"/>
          <w:sz w:val="28"/>
          <w:szCs w:val="28"/>
          <w:lang w:eastAsia="es-AR"/>
        </w:rPr>
      </w:pPr>
      <w:r w:rsidRPr="000A5482">
        <w:rPr>
          <w:rFonts w:ascii="Georgia" w:eastAsia="Times New Roman" w:hAnsi="Georgia" w:cs="Times New Roman"/>
          <w:sz w:val="28"/>
          <w:szCs w:val="28"/>
          <w:lang w:eastAsia="es-AR"/>
        </w:rPr>
        <w:lastRenderedPageBreak/>
        <w:t>Remisión de</w:t>
      </w:r>
      <w:r w:rsidRPr="00321F5A">
        <w:rPr>
          <w:rFonts w:ascii="Georgia" w:eastAsia="Times New Roman" w:hAnsi="Georgia" w:cs="Times New Roman"/>
          <w:sz w:val="28"/>
          <w:szCs w:val="28"/>
          <w:lang w:eastAsia="es-AR"/>
        </w:rPr>
        <w:t>l caso a la Corte Interamericana</w:t>
      </w:r>
    </w:p>
    <w:p w14:paraId="6123947A" w14:textId="77777777" w:rsidR="000A5482" w:rsidRPr="000A5482" w:rsidRDefault="000A5482" w:rsidP="003C622C">
      <w:pPr>
        <w:shd w:val="clear" w:color="auto" w:fill="FFFFFF"/>
        <w:spacing w:before="120" w:after="0" w:line="240" w:lineRule="auto"/>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Ante la falta de cumplimiento por parte del </w:t>
      </w:r>
      <w:hyperlink r:id="rId24" w:tooltip="Estado argentino" w:history="1">
        <w:r w:rsidRPr="000A5482">
          <w:rPr>
            <w:rFonts w:ascii="Arial" w:eastAsia="Times New Roman" w:hAnsi="Arial" w:cs="Arial"/>
            <w:sz w:val="21"/>
            <w:szCs w:val="21"/>
            <w:u w:val="single"/>
            <w:lang w:eastAsia="es-AR"/>
          </w:rPr>
          <w:t>Estado argentino</w:t>
        </w:r>
      </w:hyperlink>
      <w:r w:rsidRPr="000A5482">
        <w:rPr>
          <w:rFonts w:ascii="Arial" w:eastAsia="Times New Roman" w:hAnsi="Arial" w:cs="Arial"/>
          <w:sz w:val="21"/>
          <w:szCs w:val="21"/>
          <w:lang w:eastAsia="es-AR"/>
        </w:rPr>
        <w:t> de aspectos significativos de sus recomendaciones, la </w:t>
      </w:r>
      <w:hyperlink r:id="rId25" w:tooltip="Comisión Interamericana de Derechos Humanos" w:history="1">
        <w:r w:rsidRPr="000A5482">
          <w:rPr>
            <w:rFonts w:ascii="Arial" w:eastAsia="Times New Roman" w:hAnsi="Arial" w:cs="Arial"/>
            <w:sz w:val="21"/>
            <w:szCs w:val="21"/>
            <w:u w:val="single"/>
            <w:lang w:eastAsia="es-AR"/>
          </w:rPr>
          <w:t>Comisión Interamericana de Derechos Humanos</w:t>
        </w:r>
      </w:hyperlink>
      <w:r w:rsidRPr="000A5482">
        <w:rPr>
          <w:rFonts w:ascii="Arial" w:eastAsia="Times New Roman" w:hAnsi="Arial" w:cs="Arial"/>
          <w:sz w:val="21"/>
          <w:szCs w:val="21"/>
          <w:lang w:eastAsia="es-AR"/>
        </w:rPr>
        <w:t> presentó la demanda de este caso ante la </w:t>
      </w:r>
      <w:hyperlink r:id="rId26" w:tooltip="Corte Interamericana de Derechos Humanos" w:history="1">
        <w:r w:rsidRPr="000A5482">
          <w:rPr>
            <w:rFonts w:ascii="Arial" w:eastAsia="Times New Roman" w:hAnsi="Arial" w:cs="Arial"/>
            <w:sz w:val="21"/>
            <w:szCs w:val="21"/>
            <w:u w:val="single"/>
            <w:lang w:eastAsia="es-AR"/>
          </w:rPr>
          <w:t>Corte Interamericana de Derechos Humanos</w:t>
        </w:r>
      </w:hyperlink>
      <w:r w:rsidRPr="000A5482">
        <w:rPr>
          <w:rFonts w:ascii="Arial" w:eastAsia="Times New Roman" w:hAnsi="Arial" w:cs="Arial"/>
          <w:sz w:val="21"/>
          <w:szCs w:val="21"/>
          <w:lang w:eastAsia="es-AR"/>
        </w:rPr>
        <w:t>, con sede en San José de Costa Rica, el 24 de enero de 2001.El informe de la CIDH indica:</w:t>
      </w:r>
    </w:p>
    <w:p w14:paraId="2D03E470" w14:textId="77777777" w:rsidR="000A5482" w:rsidRPr="000A5482" w:rsidRDefault="000A5482" w:rsidP="003C622C">
      <w:pPr>
        <w:shd w:val="clear" w:color="auto" w:fill="F9F9F9"/>
        <w:spacing w:after="0" w:line="240" w:lineRule="auto"/>
        <w:jc w:val="both"/>
        <w:rPr>
          <w:rFonts w:ascii="Arial" w:eastAsia="Times New Roman" w:hAnsi="Arial" w:cs="Arial"/>
          <w:sz w:val="19"/>
          <w:szCs w:val="19"/>
          <w:lang w:eastAsia="es-AR"/>
        </w:rPr>
      </w:pPr>
      <w:r w:rsidRPr="000A5482">
        <w:rPr>
          <w:rFonts w:ascii="Arial" w:eastAsia="Times New Roman" w:hAnsi="Arial" w:cs="Arial"/>
          <w:sz w:val="19"/>
          <w:szCs w:val="19"/>
          <w:lang w:eastAsia="es-AR"/>
        </w:rPr>
        <w:t xml:space="preserve">«El 24 de enero de 2001, la CIDH sometió el caso Walter David Bulacio a la Corte Interamericana pues el mismo involucra, inter </w:t>
      </w:r>
      <w:proofErr w:type="spellStart"/>
      <w:r w:rsidRPr="000A5482">
        <w:rPr>
          <w:rFonts w:ascii="Arial" w:eastAsia="Times New Roman" w:hAnsi="Arial" w:cs="Arial"/>
          <w:sz w:val="19"/>
          <w:szCs w:val="19"/>
          <w:lang w:eastAsia="es-AR"/>
        </w:rPr>
        <w:t>alia</w:t>
      </w:r>
      <w:proofErr w:type="spellEnd"/>
      <w:r w:rsidRPr="000A5482">
        <w:rPr>
          <w:rFonts w:ascii="Arial" w:eastAsia="Times New Roman" w:hAnsi="Arial" w:cs="Arial"/>
          <w:sz w:val="19"/>
          <w:szCs w:val="19"/>
          <w:lang w:eastAsia="es-AR"/>
        </w:rPr>
        <w:t>, la vulneración de derechos a la libertad e integridad personal, a la vida, a las garantías judiciales, a la protección judicial, y los derechos de los niños, consagrados en los artículos 4, 5, 7, 8, 25 y 19 de la Convención Americana, por actos y omisiones de la República Argentina. Dicha demanda se refiere a los hechos acaecidos el 19 de abril de 1991, cuando Walter David Bulacio fue detenido por la Policía Federal argentina en el marco de un operativo policial cuando pretendía asistir a un concierto de música rock y, producto de las condiciones de detención y las torturas recibidas en el mismo cuerpo policial, falleció el 26 de abril siguiente»</w:t>
      </w:r>
    </w:p>
    <w:p w14:paraId="095F678B" w14:textId="77777777" w:rsidR="000A5482" w:rsidRPr="000A5482" w:rsidRDefault="00000000" w:rsidP="003C622C">
      <w:pPr>
        <w:shd w:val="clear" w:color="auto" w:fill="F9F9F9"/>
        <w:spacing w:line="240" w:lineRule="auto"/>
        <w:jc w:val="both"/>
        <w:rPr>
          <w:rFonts w:ascii="Arial" w:eastAsia="Times New Roman" w:hAnsi="Arial" w:cs="Arial"/>
          <w:sz w:val="19"/>
          <w:szCs w:val="19"/>
          <w:lang w:eastAsia="es-AR"/>
        </w:rPr>
      </w:pPr>
      <w:hyperlink r:id="rId27" w:history="1">
        <w:r w:rsidR="000A5482" w:rsidRPr="000A5482">
          <w:rPr>
            <w:rFonts w:ascii="Arial" w:eastAsia="Times New Roman" w:hAnsi="Arial" w:cs="Arial"/>
            <w:sz w:val="19"/>
            <w:szCs w:val="19"/>
            <w:u w:val="single"/>
            <w:lang w:eastAsia="es-AR"/>
          </w:rPr>
          <w:t xml:space="preserve">Informe Anual 2000 - Capítulo </w:t>
        </w:r>
        <w:proofErr w:type="spellStart"/>
        <w:r w:rsidR="000A5482" w:rsidRPr="000A5482">
          <w:rPr>
            <w:rFonts w:ascii="Arial" w:eastAsia="Times New Roman" w:hAnsi="Arial" w:cs="Arial"/>
            <w:sz w:val="19"/>
            <w:szCs w:val="19"/>
            <w:u w:val="single"/>
            <w:lang w:eastAsia="es-AR"/>
          </w:rPr>
          <w:t>IIIb:Casos</w:t>
        </w:r>
        <w:proofErr w:type="spellEnd"/>
        <w:r w:rsidR="000A5482" w:rsidRPr="000A5482">
          <w:rPr>
            <w:rFonts w:ascii="Arial" w:eastAsia="Times New Roman" w:hAnsi="Arial" w:cs="Arial"/>
            <w:sz w:val="19"/>
            <w:szCs w:val="19"/>
            <w:u w:val="single"/>
            <w:lang w:eastAsia="es-AR"/>
          </w:rPr>
          <w:t xml:space="preserve"> contenciosos ante la Corte Interamericana de Derechos Humanos, Caso Bulacio</w:t>
        </w:r>
      </w:hyperlink>
    </w:p>
    <w:p w14:paraId="2C140495" w14:textId="77777777" w:rsidR="000A5482" w:rsidRDefault="000A5482" w:rsidP="003C622C">
      <w:pPr>
        <w:shd w:val="clear" w:color="auto" w:fill="FFFFFF"/>
        <w:spacing w:before="120" w:after="0" w:line="240" w:lineRule="auto"/>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El 3 de marzo de 2003, la Comisión Interamericana de Derechos Humanos, los representantes de Walter Bulacio y de sus familiares y el Estado de la República Argentina presentaron a la Corte Interamericana de Derechos Humanos un acuerdo de solución amistosa y solicitaron a la Corte su pronunciamiento en la materia.</w:t>
      </w:r>
      <w:r w:rsidRPr="00321F5A">
        <w:rPr>
          <w:rFonts w:ascii="Arial" w:eastAsia="Times New Roman" w:hAnsi="Arial" w:cs="Arial"/>
          <w:sz w:val="21"/>
          <w:szCs w:val="21"/>
          <w:u w:val="single"/>
          <w:lang w:eastAsia="es-AR"/>
        </w:rPr>
        <w:t xml:space="preserve"> </w:t>
      </w:r>
      <w:r w:rsidRPr="000A5482">
        <w:rPr>
          <w:rFonts w:ascii="Arial" w:eastAsia="Times New Roman" w:hAnsi="Arial" w:cs="Arial"/>
          <w:sz w:val="21"/>
          <w:szCs w:val="21"/>
          <w:lang w:eastAsia="es-AR"/>
        </w:rPr>
        <w:t>La cláusula primera del referido acuerdo establece que a través de un acuerdo celebrado con fecha 26 de febrero de 2003 se «ha puesto fin a la controversia». El 6 de marzo de 2003, la Corte escuchó en audiencia pública una interpretación del acuerdo de solución amistosa suscrito por las partes y emitió una Resolución, en la cual resolvió continuar la audiencia pública del caso en lo que se refiere a las reparaciones.</w:t>
      </w:r>
    </w:p>
    <w:p w14:paraId="17008DBD" w14:textId="620FF7A4" w:rsidR="00321F5A" w:rsidRPr="000A5482" w:rsidRDefault="00321F5A" w:rsidP="003C622C">
      <w:pPr>
        <w:shd w:val="clear" w:color="auto" w:fill="FFFFFF"/>
        <w:spacing w:before="120" w:after="0" w:line="240" w:lineRule="auto"/>
        <w:jc w:val="both"/>
        <w:rPr>
          <w:rFonts w:ascii="Georgia" w:eastAsia="Times New Roman" w:hAnsi="Georgia" w:cs="Arial"/>
          <w:sz w:val="28"/>
          <w:szCs w:val="28"/>
          <w:lang w:eastAsia="es-AR"/>
        </w:rPr>
      </w:pPr>
    </w:p>
    <w:p w14:paraId="0B4A5BB0" w14:textId="00E5C8C5" w:rsidR="000A5482" w:rsidRPr="000A5482" w:rsidRDefault="000A5482" w:rsidP="003C622C">
      <w:pPr>
        <w:shd w:val="clear" w:color="auto" w:fill="FFFFFF"/>
        <w:spacing w:before="60" w:after="60" w:line="240" w:lineRule="auto"/>
        <w:jc w:val="both"/>
        <w:outlineLvl w:val="2"/>
        <w:rPr>
          <w:rFonts w:ascii="Georgia" w:eastAsia="Times New Roman" w:hAnsi="Georgia" w:cs="Arial"/>
          <w:bCs/>
          <w:sz w:val="28"/>
          <w:szCs w:val="28"/>
          <w:lang w:eastAsia="es-AR"/>
        </w:rPr>
      </w:pPr>
      <w:r w:rsidRPr="000A5482">
        <w:rPr>
          <w:rFonts w:ascii="Georgia" w:eastAsia="Times New Roman" w:hAnsi="Georgia" w:cs="Arial"/>
          <w:bCs/>
          <w:sz w:val="28"/>
          <w:szCs w:val="28"/>
          <w:lang w:eastAsia="es-AR"/>
        </w:rPr>
        <w:t>Sent</w:t>
      </w:r>
      <w:r w:rsidRPr="00321F5A">
        <w:rPr>
          <w:rFonts w:ascii="Georgia" w:eastAsia="Times New Roman" w:hAnsi="Georgia" w:cs="Arial"/>
          <w:bCs/>
          <w:sz w:val="28"/>
          <w:szCs w:val="28"/>
          <w:lang w:eastAsia="es-AR"/>
        </w:rPr>
        <w:t>encia de la Corte Interamericana</w:t>
      </w:r>
    </w:p>
    <w:p w14:paraId="3EAC221D" w14:textId="55C6C119" w:rsidR="000A5482" w:rsidRPr="000A5482" w:rsidRDefault="000A5482" w:rsidP="003C622C">
      <w:pPr>
        <w:shd w:val="clear" w:color="auto" w:fill="FFFFFF"/>
        <w:spacing w:before="120" w:after="0" w:line="240" w:lineRule="auto"/>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El 18 de septiembre de 2003, la Corte emitió Sentencia sobre el fondo y las r</w:t>
      </w:r>
      <w:r w:rsidRPr="00321F5A">
        <w:rPr>
          <w:rFonts w:ascii="Arial" w:eastAsia="Times New Roman" w:hAnsi="Arial" w:cs="Arial"/>
          <w:sz w:val="21"/>
          <w:szCs w:val="21"/>
          <w:lang w:eastAsia="es-AR"/>
        </w:rPr>
        <w:t>eparaciones en el presente caso</w:t>
      </w:r>
      <w:r w:rsidRPr="00321F5A">
        <w:rPr>
          <w:rFonts w:ascii="Arial" w:eastAsia="Times New Roman" w:hAnsi="Arial" w:cs="Arial"/>
          <w:sz w:val="21"/>
          <w:szCs w:val="21"/>
          <w:u w:val="single"/>
          <w:lang w:eastAsia="es-AR"/>
        </w:rPr>
        <w:t>,</w:t>
      </w:r>
      <w:r w:rsidRPr="000A5482">
        <w:rPr>
          <w:rFonts w:ascii="Arial" w:eastAsia="Times New Roman" w:hAnsi="Arial" w:cs="Arial"/>
          <w:sz w:val="21"/>
          <w:szCs w:val="21"/>
          <w:lang w:eastAsia="es-AR"/>
        </w:rPr>
        <w:t> en la cual, por unanimidad decidió admitir el reconocimiento de responsabilidad internacional efectuado por el Estado y aprobar el acuerdo.</w:t>
      </w:r>
    </w:p>
    <w:p w14:paraId="6CA58EB2" w14:textId="3A12399E" w:rsidR="000A5482" w:rsidRPr="000A5482" w:rsidRDefault="000A5482" w:rsidP="003C622C">
      <w:pPr>
        <w:shd w:val="clear" w:color="auto" w:fill="FFFFFF"/>
        <w:spacing w:before="120" w:after="0" w:line="240" w:lineRule="auto"/>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Además, la Corte Interamericana ordenó que:</w:t>
      </w:r>
    </w:p>
    <w:p w14:paraId="26602C8A" w14:textId="1F1D3CF4" w:rsidR="000A5482" w:rsidRPr="000A5482" w:rsidRDefault="000A5482" w:rsidP="003C622C">
      <w:pPr>
        <w:numPr>
          <w:ilvl w:val="0"/>
          <w:numId w:val="1"/>
        </w:numPr>
        <w:shd w:val="clear" w:color="auto" w:fill="FFFFFF"/>
        <w:spacing w:before="100" w:beforeAutospacing="1" w:after="24" w:line="240" w:lineRule="auto"/>
        <w:ind w:left="384"/>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El Estado debe proseguir y concluir la investigación del conjunto de los hechos de este caso y sancionar a los responsables de los mismos; que los familiares de la víctima deberán tener pleno acceso y capacidad de actuar, en todas las etapas e instancias de dichas investigaciones, de conformidad con la ley interna y las normas de la Convención Americana sobre Derechos Humanos; y que los resultados de las investigaciones deberán ser públicamente divulgados.</w:t>
      </w:r>
    </w:p>
    <w:p w14:paraId="529976EF" w14:textId="5D5690F6" w:rsidR="000A5482" w:rsidRPr="000A5482" w:rsidRDefault="000A5482" w:rsidP="003C622C">
      <w:pPr>
        <w:numPr>
          <w:ilvl w:val="0"/>
          <w:numId w:val="2"/>
        </w:numPr>
        <w:shd w:val="clear" w:color="auto" w:fill="FFFFFF"/>
        <w:spacing w:before="100" w:beforeAutospacing="1" w:after="24" w:line="240" w:lineRule="auto"/>
        <w:ind w:left="384"/>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El Estado debe garantizar que no se repitan hechos como los del presente caso, adoptando las medidas legislativas y de cualquier otra índole que sean necesarias para adecuar el ordenamiento jurídico interno a las normas internacionales de derechos humanos, y darles plena efectividad.</w:t>
      </w:r>
    </w:p>
    <w:p w14:paraId="64748FA1" w14:textId="77777777" w:rsidR="000A5482" w:rsidRPr="000A5482" w:rsidRDefault="000A5482" w:rsidP="003C622C">
      <w:pPr>
        <w:numPr>
          <w:ilvl w:val="0"/>
          <w:numId w:val="3"/>
        </w:numPr>
        <w:shd w:val="clear" w:color="auto" w:fill="FFFFFF"/>
        <w:spacing w:before="100" w:beforeAutospacing="1" w:after="24" w:line="240" w:lineRule="auto"/>
        <w:ind w:left="384"/>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El Estado debe pagar la cantidad total de US$124 000.00 o su equivalente en moneda argentina, por concepto de indemnización del daño material, US$210 000.00 o su equivalente en moneda argentina, por concepto de indemnización del daño inmaterial y US$40 000.00 o su equivalente en moneda argentina, por concepto de costas y gastos, en un plazo de seis meses contado a partir de la notificación de la sentencia y deberá pagar mora si hay retraso.</w:t>
      </w:r>
    </w:p>
    <w:p w14:paraId="66B70766" w14:textId="77777777" w:rsidR="000A5482" w:rsidRPr="000A5482" w:rsidRDefault="000A5482" w:rsidP="003C622C">
      <w:pPr>
        <w:shd w:val="clear" w:color="auto" w:fill="FFFFFF"/>
        <w:spacing w:before="120" w:after="0" w:line="240" w:lineRule="auto"/>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El privilegio policial de pedir identificación y detener discrecionalmente fue limitada por un fallo de la Comisión Interamericana de Dere</w:t>
      </w:r>
      <w:r w:rsidRPr="00321F5A">
        <w:rPr>
          <w:rFonts w:ascii="Arial" w:eastAsia="Times New Roman" w:hAnsi="Arial" w:cs="Arial"/>
          <w:sz w:val="21"/>
          <w:szCs w:val="21"/>
          <w:lang w:eastAsia="es-AR"/>
        </w:rPr>
        <w:t xml:space="preserve">chos Humanos (CIDH) por el Caso </w:t>
      </w:r>
      <w:proofErr w:type="spellStart"/>
      <w:r w:rsidRPr="000A5482">
        <w:rPr>
          <w:rFonts w:ascii="Arial" w:eastAsia="Times New Roman" w:hAnsi="Arial" w:cs="Arial"/>
          <w:sz w:val="21"/>
          <w:szCs w:val="21"/>
          <w:lang w:eastAsia="es-AR"/>
        </w:rPr>
        <w:t>Bulacio.Dicha</w:t>
      </w:r>
      <w:proofErr w:type="spellEnd"/>
      <w:r w:rsidRPr="000A5482">
        <w:rPr>
          <w:rFonts w:ascii="Arial" w:eastAsia="Times New Roman" w:hAnsi="Arial" w:cs="Arial"/>
          <w:sz w:val="21"/>
          <w:szCs w:val="21"/>
          <w:lang w:eastAsia="es-AR"/>
        </w:rPr>
        <w:t xml:space="preserve"> facultad de detener y pedir DNI discrecionalmente fue repuesta en 2016 violando el fallo de la Corte Interamericana de Derechos Humanos, causando polémica.</w:t>
      </w:r>
    </w:p>
    <w:p w14:paraId="16A3D42F" w14:textId="77777777" w:rsidR="000A5482" w:rsidRPr="00321F5A" w:rsidRDefault="000A5482" w:rsidP="003C622C">
      <w:pPr>
        <w:pBdr>
          <w:bottom w:val="single" w:sz="6" w:space="2" w:color="A2A9B1"/>
        </w:pBdr>
        <w:shd w:val="clear" w:color="auto" w:fill="FFFFFF"/>
        <w:spacing w:before="60" w:after="60" w:line="240" w:lineRule="auto"/>
        <w:jc w:val="both"/>
        <w:outlineLvl w:val="1"/>
        <w:rPr>
          <w:rFonts w:ascii="Georgia" w:eastAsia="Times New Roman" w:hAnsi="Georgia" w:cs="Times New Roman"/>
          <w:sz w:val="36"/>
          <w:szCs w:val="36"/>
          <w:lang w:eastAsia="es-AR"/>
        </w:rPr>
      </w:pPr>
    </w:p>
    <w:p w14:paraId="260FD9C8" w14:textId="77777777" w:rsidR="000A5482" w:rsidRPr="000A5482" w:rsidRDefault="000A5482" w:rsidP="003C622C">
      <w:pPr>
        <w:pBdr>
          <w:bottom w:val="single" w:sz="6" w:space="2" w:color="A2A9B1"/>
        </w:pBdr>
        <w:shd w:val="clear" w:color="auto" w:fill="FFFFFF"/>
        <w:spacing w:before="60" w:after="60" w:line="240" w:lineRule="auto"/>
        <w:jc w:val="both"/>
        <w:outlineLvl w:val="1"/>
        <w:rPr>
          <w:rFonts w:ascii="Georgia" w:eastAsia="Times New Roman" w:hAnsi="Georgia" w:cs="Times New Roman"/>
          <w:sz w:val="28"/>
          <w:szCs w:val="28"/>
          <w:lang w:eastAsia="es-AR"/>
        </w:rPr>
      </w:pPr>
      <w:r w:rsidRPr="00321F5A">
        <w:rPr>
          <w:rFonts w:ascii="Georgia" w:eastAsia="Times New Roman" w:hAnsi="Georgia" w:cs="Times New Roman"/>
          <w:sz w:val="28"/>
          <w:szCs w:val="28"/>
          <w:lang w:eastAsia="es-AR"/>
        </w:rPr>
        <w:t>J</w:t>
      </w:r>
      <w:r w:rsidRPr="000A5482">
        <w:rPr>
          <w:rFonts w:ascii="Georgia" w:eastAsia="Times New Roman" w:hAnsi="Georgia" w:cs="Times New Roman"/>
          <w:sz w:val="28"/>
          <w:szCs w:val="28"/>
          <w:lang w:eastAsia="es-AR"/>
        </w:rPr>
        <w:t>uicio oral al comisario Espósito</w:t>
      </w:r>
    </w:p>
    <w:p w14:paraId="492284CE" w14:textId="77777777" w:rsidR="000A5482" w:rsidRPr="000A5482" w:rsidRDefault="000A5482" w:rsidP="003C622C">
      <w:pPr>
        <w:shd w:val="clear" w:color="auto" w:fill="FFFFFF"/>
        <w:spacing w:before="120" w:after="0" w:line="240" w:lineRule="auto"/>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Finalmente, y a pesar de las reiteradas dilaciones provocadas por el abogado defensor de Miguel Ángel Espósito, Argibay Molina, primo de </w:t>
      </w:r>
      <w:hyperlink r:id="rId28" w:tooltip="Carmen Argibay" w:history="1">
        <w:r w:rsidRPr="000A5482">
          <w:rPr>
            <w:rFonts w:ascii="Arial" w:eastAsia="Times New Roman" w:hAnsi="Arial" w:cs="Arial"/>
            <w:sz w:val="21"/>
            <w:szCs w:val="21"/>
            <w:u w:val="single"/>
            <w:lang w:eastAsia="es-AR"/>
          </w:rPr>
          <w:t>Carmen Argibay</w:t>
        </w:r>
      </w:hyperlink>
      <w:r w:rsidRPr="000A5482">
        <w:rPr>
          <w:rFonts w:ascii="Arial" w:eastAsia="Times New Roman" w:hAnsi="Arial" w:cs="Arial"/>
          <w:sz w:val="21"/>
          <w:szCs w:val="21"/>
          <w:lang w:eastAsia="es-AR"/>
        </w:rPr>
        <w:t>, ministra de la Corte Suprema de Justicia de la Nación, comenzó el debate oral del juicio contra Miguel Ángel Espósito, pero no por la tortura seguida de muerte del joven Walter Bulacio</w:t>
      </w:r>
      <w:r w:rsidRPr="00321F5A">
        <w:rPr>
          <w:rFonts w:ascii="Arial" w:eastAsia="Times New Roman" w:hAnsi="Arial" w:cs="Arial"/>
          <w:sz w:val="21"/>
          <w:szCs w:val="21"/>
          <w:u w:val="single"/>
          <w:vertAlign w:val="superscript"/>
          <w:lang w:eastAsia="es-AR"/>
        </w:rPr>
        <w:t xml:space="preserve"> </w:t>
      </w:r>
      <w:r w:rsidRPr="000A5482">
        <w:rPr>
          <w:rFonts w:ascii="Arial" w:eastAsia="Times New Roman" w:hAnsi="Arial" w:cs="Arial"/>
          <w:sz w:val="21"/>
          <w:szCs w:val="21"/>
          <w:lang w:eastAsia="es-AR"/>
        </w:rPr>
        <w:t>sino solamente por la privación ilegítima de libertad contra Bulacio. La restricción del objeto procesal, así como también el hecho de que solamente Espósito fuera llevado ante los estrados judiciales, suscitó movilizaciones populares y reclamos.</w:t>
      </w:r>
    </w:p>
    <w:p w14:paraId="4C4DA0B0" w14:textId="77777777" w:rsidR="005B7EF0" w:rsidRPr="00321F5A" w:rsidRDefault="000A5482" w:rsidP="003C622C">
      <w:pPr>
        <w:shd w:val="clear" w:color="auto" w:fill="FFFFFF"/>
        <w:spacing w:before="120" w:after="0" w:line="240" w:lineRule="auto"/>
        <w:jc w:val="both"/>
        <w:rPr>
          <w:rFonts w:ascii="Arial" w:eastAsia="Times New Roman" w:hAnsi="Arial" w:cs="Arial"/>
          <w:sz w:val="21"/>
          <w:szCs w:val="21"/>
          <w:lang w:eastAsia="es-AR"/>
        </w:rPr>
      </w:pPr>
      <w:r w:rsidRPr="000A5482">
        <w:rPr>
          <w:rFonts w:ascii="Arial" w:eastAsia="Times New Roman" w:hAnsi="Arial" w:cs="Arial"/>
          <w:sz w:val="21"/>
          <w:szCs w:val="21"/>
          <w:lang w:eastAsia="es-AR"/>
        </w:rPr>
        <w:t>En noviembre de 2013, Espósito fue hallado responsable de la razia que terminó con Bulacio en la comisaría y condenado a la pena de tres años de prisión “en suspenso”, sin aplicación efectiva.</w:t>
      </w:r>
    </w:p>
    <w:p w14:paraId="591A4F36" w14:textId="77777777" w:rsidR="000A5482" w:rsidRDefault="000A5482" w:rsidP="003C622C">
      <w:pPr>
        <w:jc w:val="both"/>
      </w:pPr>
    </w:p>
    <w:p w14:paraId="22A762A0" w14:textId="185F502B" w:rsidR="00493EFE" w:rsidRDefault="00493EFE" w:rsidP="003C622C">
      <w:pPr>
        <w:jc w:val="both"/>
        <w:rPr>
          <w:rFonts w:ascii="Georgia" w:hAnsi="Georgia"/>
          <w:b/>
          <w:bCs/>
          <w:sz w:val="28"/>
          <w:szCs w:val="28"/>
        </w:rPr>
      </w:pPr>
      <w:r w:rsidRPr="00493EFE">
        <w:rPr>
          <w:rFonts w:ascii="Georgia" w:hAnsi="Georgia"/>
          <w:b/>
          <w:bCs/>
          <w:sz w:val="28"/>
          <w:szCs w:val="28"/>
        </w:rPr>
        <w:t>Mural en Memoria de Walter</w:t>
      </w:r>
    </w:p>
    <w:p w14:paraId="6E5D5E70" w14:textId="1D53FF9F" w:rsidR="00493EFE" w:rsidRDefault="00F21A96" w:rsidP="003C622C">
      <w:pPr>
        <w:jc w:val="both"/>
        <w:rPr>
          <w:rFonts w:ascii="Arial" w:hAnsi="Arial" w:cs="Arial"/>
          <w:sz w:val="20"/>
          <w:szCs w:val="20"/>
        </w:rPr>
      </w:pPr>
      <w:r w:rsidRPr="00F21A96">
        <w:rPr>
          <w:rFonts w:ascii="Arial" w:hAnsi="Arial" w:cs="Arial"/>
          <w:sz w:val="20"/>
          <w:szCs w:val="20"/>
        </w:rPr>
        <w:t>Colegio N°1 Bernardino Rivadavia, el “</w:t>
      </w:r>
      <w:r w:rsidR="00C209A3" w:rsidRPr="00F21A96">
        <w:rPr>
          <w:rFonts w:ascii="Arial" w:hAnsi="Arial" w:cs="Arial"/>
          <w:sz w:val="20"/>
          <w:szCs w:val="20"/>
        </w:rPr>
        <w:t>Riva”,</w:t>
      </w:r>
      <w:r w:rsidR="00C209A3">
        <w:rPr>
          <w:rFonts w:ascii="Arial" w:hAnsi="Arial" w:cs="Arial"/>
          <w:sz w:val="20"/>
          <w:szCs w:val="20"/>
        </w:rPr>
        <w:t xml:space="preserve"> como se lo conoce, </w:t>
      </w:r>
      <w:r w:rsidRPr="00F21A96">
        <w:rPr>
          <w:rFonts w:ascii="Arial" w:hAnsi="Arial" w:cs="Arial"/>
          <w:sz w:val="20"/>
          <w:szCs w:val="20"/>
        </w:rPr>
        <w:t xml:space="preserve"> ubicado en Avenida San Juan 1545, en la Ciudad de Buenos Aires</w:t>
      </w:r>
      <w:r>
        <w:rPr>
          <w:rFonts w:ascii="Arial" w:hAnsi="Arial" w:cs="Arial"/>
          <w:sz w:val="20"/>
          <w:szCs w:val="20"/>
        </w:rPr>
        <w:t xml:space="preserve">, es colegio en el cual Walter hizo la secundaria y el cual nunca se </w:t>
      </w:r>
      <w:r w:rsidR="00BF34C9">
        <w:rPr>
          <w:rFonts w:ascii="Arial" w:hAnsi="Arial" w:cs="Arial"/>
          <w:sz w:val="20"/>
          <w:szCs w:val="20"/>
        </w:rPr>
        <w:t>olvidó</w:t>
      </w:r>
      <w:r>
        <w:rPr>
          <w:rFonts w:ascii="Arial" w:hAnsi="Arial" w:cs="Arial"/>
          <w:sz w:val="20"/>
          <w:szCs w:val="20"/>
        </w:rPr>
        <w:t xml:space="preserve"> de él.</w:t>
      </w:r>
    </w:p>
    <w:p w14:paraId="6C7978B3" w14:textId="3A3EBF9B" w:rsidR="00F21A96" w:rsidRDefault="00F21A96" w:rsidP="003C622C">
      <w:pPr>
        <w:jc w:val="both"/>
        <w:rPr>
          <w:rFonts w:ascii="Arial" w:hAnsi="Arial" w:cs="Arial"/>
          <w:sz w:val="20"/>
          <w:szCs w:val="20"/>
        </w:rPr>
      </w:pPr>
      <w:r>
        <w:rPr>
          <w:rFonts w:ascii="Arial" w:hAnsi="Arial" w:cs="Arial"/>
          <w:sz w:val="20"/>
          <w:szCs w:val="20"/>
        </w:rPr>
        <w:t>Desde su asesinato el colegio se preocupo y se ocupo de mantener viva la memoria de Walter entre las diferentes generaciones que iban pasando por la institución educativa, cada estudiante que pasaba por las aulas del Riba conocía la historia de aquel pibe que</w:t>
      </w:r>
      <w:r w:rsidR="00BF34C9">
        <w:rPr>
          <w:rFonts w:ascii="Arial" w:hAnsi="Arial" w:cs="Arial"/>
          <w:sz w:val="20"/>
          <w:szCs w:val="20"/>
        </w:rPr>
        <w:t xml:space="preserve"> había sufrido una brutal golpiza por parte de la Policía Federal y que producto de eso había fallecido, la frase “Walter vive” resonaba en cada aula y en cada pasillo.</w:t>
      </w:r>
    </w:p>
    <w:p w14:paraId="5E64A165" w14:textId="5312CF4F" w:rsidR="00BF34C9" w:rsidRDefault="00BF34C9" w:rsidP="003C622C">
      <w:pPr>
        <w:jc w:val="both"/>
        <w:rPr>
          <w:rFonts w:ascii="Arial" w:hAnsi="Arial" w:cs="Arial"/>
          <w:sz w:val="20"/>
          <w:szCs w:val="20"/>
        </w:rPr>
      </w:pPr>
      <w:r>
        <w:rPr>
          <w:rFonts w:ascii="Arial" w:hAnsi="Arial" w:cs="Arial"/>
          <w:sz w:val="20"/>
          <w:szCs w:val="20"/>
        </w:rPr>
        <w:t xml:space="preserve">Es por eso que en el año 2019 </w:t>
      </w:r>
      <w:proofErr w:type="spellStart"/>
      <w:r>
        <w:rPr>
          <w:rFonts w:ascii="Arial" w:hAnsi="Arial" w:cs="Arial"/>
          <w:sz w:val="20"/>
          <w:szCs w:val="20"/>
        </w:rPr>
        <w:t>el</w:t>
      </w:r>
      <w:r w:rsidRPr="00BF34C9">
        <w:rPr>
          <w:rFonts w:ascii="Arial" w:hAnsi="Arial" w:cs="Arial"/>
          <w:sz w:val="20"/>
          <w:szCs w:val="20"/>
        </w:rPr>
        <w:t>l</w:t>
      </w:r>
      <w:proofErr w:type="spellEnd"/>
      <w:r w:rsidRPr="00BF34C9">
        <w:rPr>
          <w:rFonts w:ascii="Arial" w:hAnsi="Arial" w:cs="Arial"/>
          <w:sz w:val="20"/>
          <w:szCs w:val="20"/>
        </w:rPr>
        <w:t xml:space="preserve"> mural, titulado Walter Bulacio: el universo de la infancia y la adolescencia </w:t>
      </w:r>
      <w:r w:rsidRPr="00BF34C9">
        <w:rPr>
          <w:rFonts w:ascii="Arial" w:hAnsi="Arial" w:cs="Arial"/>
          <w:sz w:val="20"/>
          <w:szCs w:val="20"/>
        </w:rPr>
        <w:t>interrumpida</w:t>
      </w:r>
      <w:r w:rsidRPr="00BF34C9">
        <w:rPr>
          <w:rFonts w:ascii="Arial" w:hAnsi="Arial" w:cs="Arial"/>
          <w:sz w:val="20"/>
          <w:szCs w:val="20"/>
        </w:rPr>
        <w:t xml:space="preserve"> fue producido por el grupo de </w:t>
      </w:r>
      <w:proofErr w:type="spellStart"/>
      <w:r w:rsidRPr="00BF34C9">
        <w:rPr>
          <w:rFonts w:ascii="Arial" w:hAnsi="Arial" w:cs="Arial"/>
          <w:sz w:val="20"/>
          <w:szCs w:val="20"/>
        </w:rPr>
        <w:t>mosaiquismo</w:t>
      </w:r>
      <w:proofErr w:type="spellEnd"/>
      <w:r w:rsidRPr="00BF34C9">
        <w:rPr>
          <w:rFonts w:ascii="Arial" w:hAnsi="Arial" w:cs="Arial"/>
          <w:sz w:val="20"/>
          <w:szCs w:val="20"/>
        </w:rPr>
        <w:t xml:space="preserve"> </w:t>
      </w:r>
      <w:proofErr w:type="spellStart"/>
      <w:r w:rsidRPr="00BF34C9">
        <w:rPr>
          <w:rFonts w:ascii="Arial" w:hAnsi="Arial" w:cs="Arial"/>
          <w:sz w:val="20"/>
          <w:szCs w:val="20"/>
        </w:rPr>
        <w:t>Alikata</w:t>
      </w:r>
      <w:proofErr w:type="spellEnd"/>
      <w:r>
        <w:rPr>
          <w:rFonts w:ascii="Arial" w:hAnsi="Arial" w:cs="Arial"/>
          <w:sz w:val="20"/>
          <w:szCs w:val="20"/>
        </w:rPr>
        <w:t xml:space="preserve"> y en el cual participaron profesores y estudiantes del colegio.</w:t>
      </w:r>
    </w:p>
    <w:p w14:paraId="73B4A649" w14:textId="13A7F18E" w:rsidR="00BF34C9" w:rsidRPr="00F21A96" w:rsidRDefault="00BF34C9" w:rsidP="003C622C">
      <w:pPr>
        <w:jc w:val="both"/>
        <w:rPr>
          <w:rFonts w:ascii="Arial" w:hAnsi="Arial" w:cs="Arial"/>
          <w:sz w:val="20"/>
          <w:szCs w:val="20"/>
        </w:rPr>
      </w:pPr>
      <w:r>
        <w:rPr>
          <w:rFonts w:ascii="Arial" w:hAnsi="Arial" w:cs="Arial"/>
          <w:noProof/>
          <w:sz w:val="20"/>
          <w:szCs w:val="20"/>
        </w:rPr>
        <w:drawing>
          <wp:anchor distT="0" distB="0" distL="114300" distR="114300" simplePos="0" relativeHeight="251658240" behindDoc="1" locked="0" layoutInCell="1" allowOverlap="1" wp14:anchorId="412B54B5" wp14:editId="00B131D5">
            <wp:simplePos x="0" y="0"/>
            <wp:positionH relativeFrom="page">
              <wp:posOffset>1083310</wp:posOffset>
            </wp:positionH>
            <wp:positionV relativeFrom="paragraph">
              <wp:posOffset>207010</wp:posOffset>
            </wp:positionV>
            <wp:extent cx="5476875" cy="3651250"/>
            <wp:effectExtent l="0" t="0" r="9525" b="6350"/>
            <wp:wrapTight wrapText="bothSides">
              <wp:wrapPolygon edited="0">
                <wp:start x="0" y="0"/>
                <wp:lineTo x="0" y="21525"/>
                <wp:lineTo x="21562" y="21525"/>
                <wp:lineTo x="21562" y="0"/>
                <wp:lineTo x="0" y="0"/>
              </wp:wrapPolygon>
            </wp:wrapTight>
            <wp:docPr id="1567468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3651250"/>
                    </a:xfrm>
                    <a:prstGeom prst="rect">
                      <a:avLst/>
                    </a:prstGeom>
                    <a:noFill/>
                  </pic:spPr>
                </pic:pic>
              </a:graphicData>
            </a:graphic>
            <wp14:sizeRelH relativeFrom="page">
              <wp14:pctWidth>0</wp14:pctWidth>
            </wp14:sizeRelH>
            <wp14:sizeRelV relativeFrom="page">
              <wp14:pctHeight>0</wp14:pctHeight>
            </wp14:sizeRelV>
          </wp:anchor>
        </w:drawing>
      </w:r>
    </w:p>
    <w:p w14:paraId="101DE306" w14:textId="43C2039C" w:rsidR="00BF34C9" w:rsidRDefault="00BF34C9" w:rsidP="003C622C">
      <w:pPr>
        <w:jc w:val="both"/>
        <w:rPr>
          <w:rFonts w:ascii="Georgia" w:hAnsi="Georgia"/>
          <w:b/>
          <w:sz w:val="28"/>
          <w:szCs w:val="28"/>
          <w:u w:val="single"/>
        </w:rPr>
      </w:pPr>
    </w:p>
    <w:p w14:paraId="0C028A5E" w14:textId="77777777" w:rsidR="00BF34C9" w:rsidRDefault="00BF34C9" w:rsidP="003C622C">
      <w:pPr>
        <w:jc w:val="both"/>
        <w:rPr>
          <w:rFonts w:ascii="Georgia" w:hAnsi="Georgia"/>
          <w:b/>
          <w:sz w:val="28"/>
          <w:szCs w:val="28"/>
          <w:u w:val="single"/>
        </w:rPr>
      </w:pPr>
    </w:p>
    <w:p w14:paraId="3073D7DC" w14:textId="77777777" w:rsidR="00BF34C9" w:rsidRDefault="00BF34C9" w:rsidP="003C622C">
      <w:pPr>
        <w:jc w:val="both"/>
        <w:rPr>
          <w:rFonts w:ascii="Georgia" w:hAnsi="Georgia"/>
          <w:b/>
          <w:sz w:val="28"/>
          <w:szCs w:val="28"/>
          <w:u w:val="single"/>
        </w:rPr>
      </w:pPr>
    </w:p>
    <w:p w14:paraId="4095313F" w14:textId="77777777" w:rsidR="00BF34C9" w:rsidRDefault="00BF34C9" w:rsidP="003C622C">
      <w:pPr>
        <w:jc w:val="both"/>
        <w:rPr>
          <w:rFonts w:ascii="Georgia" w:hAnsi="Georgia"/>
          <w:b/>
          <w:sz w:val="28"/>
          <w:szCs w:val="28"/>
          <w:u w:val="single"/>
        </w:rPr>
      </w:pPr>
    </w:p>
    <w:p w14:paraId="2A013295" w14:textId="77777777" w:rsidR="00BF34C9" w:rsidRDefault="00BF34C9" w:rsidP="003C622C">
      <w:pPr>
        <w:jc w:val="both"/>
        <w:rPr>
          <w:rFonts w:ascii="Georgia" w:hAnsi="Georgia"/>
          <w:b/>
          <w:sz w:val="28"/>
          <w:szCs w:val="28"/>
          <w:u w:val="single"/>
        </w:rPr>
      </w:pPr>
    </w:p>
    <w:p w14:paraId="5634A84C" w14:textId="77777777" w:rsidR="00BF34C9" w:rsidRDefault="00BF34C9" w:rsidP="003C622C">
      <w:pPr>
        <w:jc w:val="both"/>
        <w:rPr>
          <w:rFonts w:ascii="Georgia" w:hAnsi="Georgia"/>
          <w:b/>
          <w:sz w:val="28"/>
          <w:szCs w:val="28"/>
          <w:u w:val="single"/>
        </w:rPr>
      </w:pPr>
    </w:p>
    <w:p w14:paraId="741AB5C8" w14:textId="77777777" w:rsidR="00BF34C9" w:rsidRDefault="00BF34C9" w:rsidP="003C622C">
      <w:pPr>
        <w:jc w:val="both"/>
        <w:rPr>
          <w:rFonts w:ascii="Georgia" w:hAnsi="Georgia"/>
          <w:b/>
          <w:sz w:val="28"/>
          <w:szCs w:val="28"/>
          <w:u w:val="single"/>
        </w:rPr>
      </w:pPr>
    </w:p>
    <w:p w14:paraId="615DAB33" w14:textId="3D294A78" w:rsidR="000A5482" w:rsidRPr="00321F5A" w:rsidRDefault="00321F5A" w:rsidP="003C622C">
      <w:pPr>
        <w:jc w:val="both"/>
        <w:rPr>
          <w:rFonts w:ascii="Georgia" w:hAnsi="Georgia"/>
          <w:b/>
          <w:sz w:val="28"/>
          <w:szCs w:val="28"/>
          <w:u w:val="single"/>
        </w:rPr>
      </w:pPr>
      <w:r w:rsidRPr="00321F5A">
        <w:rPr>
          <w:rFonts w:ascii="Georgia" w:hAnsi="Georgia"/>
          <w:b/>
          <w:sz w:val="28"/>
          <w:szCs w:val="28"/>
          <w:u w:val="single"/>
        </w:rPr>
        <w:t>Propuesta de Trabajo</w:t>
      </w:r>
    </w:p>
    <w:p w14:paraId="617DA289" w14:textId="51513B74" w:rsidR="000A5482" w:rsidRDefault="000A5482" w:rsidP="003C622C">
      <w:pPr>
        <w:jc w:val="both"/>
      </w:pPr>
      <w:r w:rsidRPr="00321F5A">
        <w:t xml:space="preserve">Apuntes, “DE ESTO SÍ SE HABLA”, </w:t>
      </w:r>
      <w:r w:rsidR="00321F5A" w:rsidRPr="00321F5A">
        <w:t>Propuestas Didácticas para el Aula sobre Violencia Institucional</w:t>
      </w:r>
      <w:r w:rsidR="00321F5A">
        <w:t>.</w:t>
      </w:r>
    </w:p>
    <w:p w14:paraId="2BD147E6" w14:textId="77777777" w:rsidR="00321F5A" w:rsidRPr="00321F5A" w:rsidRDefault="00321F5A" w:rsidP="003C622C">
      <w:pPr>
        <w:jc w:val="both"/>
      </w:pPr>
      <w:r>
        <w:t>NI UN PIBE MENOS</w:t>
      </w:r>
    </w:p>
    <w:p w14:paraId="16C00C23" w14:textId="77777777" w:rsidR="00272E6E" w:rsidRDefault="00000000" w:rsidP="003C622C">
      <w:pPr>
        <w:jc w:val="both"/>
      </w:pPr>
      <w:hyperlink r:id="rId30" w:history="1">
        <w:r w:rsidR="000A5482" w:rsidRPr="00327220">
          <w:rPr>
            <w:rStyle w:val="Hipervnculo"/>
          </w:rPr>
          <w:t>https://ute.org.ar/de-esto-si-se-habla-2/</w:t>
        </w:r>
      </w:hyperlink>
    </w:p>
    <w:p w14:paraId="609E5C6D" w14:textId="77777777" w:rsidR="00D96295" w:rsidRDefault="00D96295" w:rsidP="003C622C">
      <w:pPr>
        <w:jc w:val="both"/>
      </w:pPr>
    </w:p>
    <w:p w14:paraId="364CA6E7" w14:textId="77777777" w:rsidR="000A5482" w:rsidRPr="00F41B8F" w:rsidRDefault="00272E6E" w:rsidP="003C622C">
      <w:pPr>
        <w:jc w:val="both"/>
        <w:rPr>
          <w:b/>
          <w:sz w:val="28"/>
          <w:szCs w:val="28"/>
          <w:u w:val="single"/>
        </w:rPr>
      </w:pPr>
      <w:r w:rsidRPr="00F41B8F">
        <w:rPr>
          <w:b/>
          <w:sz w:val="28"/>
          <w:szCs w:val="28"/>
          <w:u w:val="single"/>
        </w:rPr>
        <w:t>PODCAST</w:t>
      </w:r>
    </w:p>
    <w:p w14:paraId="35ABB593" w14:textId="77777777" w:rsidR="0054093D" w:rsidRDefault="00272E6E" w:rsidP="003C622C">
      <w:pPr>
        <w:jc w:val="both"/>
        <w:rPr>
          <w:b/>
        </w:rPr>
      </w:pPr>
      <w:r w:rsidRPr="00F41B8F">
        <w:rPr>
          <w:b/>
        </w:rPr>
        <w:t>2022</w:t>
      </w:r>
      <w:r w:rsidR="0054093D" w:rsidRPr="00F41B8F">
        <w:rPr>
          <w:b/>
        </w:rPr>
        <w:t xml:space="preserve"> “</w:t>
      </w:r>
      <w:proofErr w:type="spellStart"/>
      <w:r w:rsidR="00315A72" w:rsidRPr="00F41B8F">
        <w:rPr>
          <w:b/>
        </w:rPr>
        <w:t>Crímen</w:t>
      </w:r>
      <w:proofErr w:type="spellEnd"/>
      <w:r w:rsidR="00315A72" w:rsidRPr="00F41B8F">
        <w:rPr>
          <w:b/>
        </w:rPr>
        <w:t xml:space="preserve"> de </w:t>
      </w:r>
      <w:r w:rsidR="0054093D" w:rsidRPr="00F41B8F">
        <w:rPr>
          <w:b/>
        </w:rPr>
        <w:t>Walter</w:t>
      </w:r>
      <w:r w:rsidR="00315A72" w:rsidRPr="00F41B8F">
        <w:rPr>
          <w:b/>
        </w:rPr>
        <w:t xml:space="preserve">: </w:t>
      </w:r>
      <w:r w:rsidR="0054093D" w:rsidRPr="00F41B8F">
        <w:rPr>
          <w:b/>
        </w:rPr>
        <w:t xml:space="preserve"> Bulacio El </w:t>
      </w:r>
      <w:r w:rsidR="00315A72" w:rsidRPr="00F41B8F">
        <w:rPr>
          <w:b/>
        </w:rPr>
        <w:t>jo</w:t>
      </w:r>
      <w:r w:rsidR="0054093D" w:rsidRPr="00F41B8F">
        <w:rPr>
          <w:b/>
        </w:rPr>
        <w:t>ven Ricotero que asesino la Policía</w:t>
      </w:r>
      <w:r w:rsidR="0054093D">
        <w:rPr>
          <w:b/>
        </w:rPr>
        <w:t>”</w:t>
      </w:r>
    </w:p>
    <w:p w14:paraId="17619116" w14:textId="77777777" w:rsidR="0054093D" w:rsidRDefault="00315A72" w:rsidP="003C622C">
      <w:pPr>
        <w:jc w:val="both"/>
        <w:rPr>
          <w:b/>
        </w:rPr>
      </w:pPr>
      <w:r>
        <w:rPr>
          <w:b/>
          <w:noProof/>
          <w:lang w:eastAsia="es-AR"/>
        </w:rPr>
        <w:drawing>
          <wp:inline distT="0" distB="0" distL="0" distR="0" wp14:anchorId="7B48BE2F" wp14:editId="30B51852">
            <wp:extent cx="962025" cy="962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arg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1507B3D0" w14:textId="77777777" w:rsidR="00272E6E" w:rsidRDefault="00000000" w:rsidP="003C622C">
      <w:pPr>
        <w:jc w:val="both"/>
        <w:rPr>
          <w:b/>
        </w:rPr>
      </w:pPr>
      <w:hyperlink r:id="rId32" w:history="1">
        <w:r w:rsidR="00272E6E" w:rsidRPr="00272E6E">
          <w:rPr>
            <w:rStyle w:val="Hipervnculo"/>
          </w:rPr>
          <w:t>https://open.spotify.com/episode/625P8Q2bmAUuIzjKqXCWHl?si=LO2_3TdWTImhOfCi9fXquA%0A</w:t>
        </w:r>
      </w:hyperlink>
    </w:p>
    <w:p w14:paraId="6389FC97" w14:textId="77777777" w:rsidR="0054093D" w:rsidRDefault="0054093D" w:rsidP="003C622C">
      <w:pPr>
        <w:jc w:val="both"/>
        <w:rPr>
          <w:b/>
        </w:rPr>
      </w:pPr>
    </w:p>
    <w:p w14:paraId="3FAC1861" w14:textId="77777777" w:rsidR="0054093D" w:rsidRDefault="0054093D" w:rsidP="003C622C">
      <w:pPr>
        <w:jc w:val="both"/>
        <w:rPr>
          <w:b/>
        </w:rPr>
      </w:pPr>
    </w:p>
    <w:p w14:paraId="48300DD1" w14:textId="77777777" w:rsidR="00272E6E" w:rsidRPr="00F41B8F" w:rsidRDefault="00272E6E" w:rsidP="003C622C">
      <w:pPr>
        <w:jc w:val="both"/>
        <w:rPr>
          <w:b/>
        </w:rPr>
      </w:pPr>
      <w:r w:rsidRPr="00F41B8F">
        <w:rPr>
          <w:b/>
        </w:rPr>
        <w:t>2023</w:t>
      </w:r>
      <w:r w:rsidR="00315A72" w:rsidRPr="00F41B8F">
        <w:rPr>
          <w:b/>
        </w:rPr>
        <w:t xml:space="preserve"> </w:t>
      </w:r>
      <w:r w:rsidR="007A277A" w:rsidRPr="00F41B8F">
        <w:rPr>
          <w:b/>
        </w:rPr>
        <w:t xml:space="preserve">“A 32 años de la detención ilegal y muerte de Walter Bulacio” </w:t>
      </w:r>
    </w:p>
    <w:p w14:paraId="768ED6D3" w14:textId="6386E601" w:rsidR="00272E6E" w:rsidRDefault="00315A72" w:rsidP="003C622C">
      <w:pPr>
        <w:jc w:val="both"/>
        <w:rPr>
          <w:b/>
        </w:rPr>
      </w:pPr>
      <w:r>
        <w:rPr>
          <w:b/>
          <w:noProof/>
          <w:lang w:eastAsia="es-AR"/>
        </w:rPr>
        <w:drawing>
          <wp:inline distT="0" distB="0" distL="0" distR="0" wp14:anchorId="2E72D662" wp14:editId="06974A37">
            <wp:extent cx="1209675" cy="1209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p w14:paraId="60D45CEE" w14:textId="77777777" w:rsidR="00272E6E" w:rsidRDefault="00000000" w:rsidP="003C622C">
      <w:pPr>
        <w:jc w:val="both"/>
        <w:rPr>
          <w:b/>
        </w:rPr>
      </w:pPr>
      <w:hyperlink r:id="rId34" w:history="1">
        <w:r w:rsidR="00272E6E" w:rsidRPr="00272E6E">
          <w:rPr>
            <w:rStyle w:val="Hipervnculo"/>
          </w:rPr>
          <w:t>https://open.spotify.com/episode/4vPfXagrjh9eZhPw7WEVlQ?si=B_aubAfZRoqxUD5LB92y2A</w:t>
        </w:r>
      </w:hyperlink>
    </w:p>
    <w:p w14:paraId="4DFDEF1A" w14:textId="77777777" w:rsidR="003C622C" w:rsidRDefault="00AD50AB" w:rsidP="003C622C">
      <w:pPr>
        <w:jc w:val="both"/>
        <w:rPr>
          <w:b/>
        </w:rPr>
      </w:pPr>
      <w:r>
        <w:rPr>
          <w:b/>
        </w:rPr>
        <w:t xml:space="preserve">2023 </w:t>
      </w:r>
      <w:r w:rsidR="003C622C">
        <w:rPr>
          <w:b/>
        </w:rPr>
        <w:t>Recordamos a Walter Bulacio (Programa Primera Versión Radio Nacional Rock 93.7, Buenos Aires Argentina,</w:t>
      </w:r>
      <w:r w:rsidR="003C622C" w:rsidRPr="003C622C">
        <w:rPr>
          <w:b/>
        </w:rPr>
        <w:t xml:space="preserve"> </w:t>
      </w:r>
      <w:r w:rsidR="003C622C">
        <w:rPr>
          <w:b/>
        </w:rPr>
        <w:t>26 de abril 2023)</w:t>
      </w:r>
    </w:p>
    <w:p w14:paraId="21CA8DB7" w14:textId="77777777" w:rsidR="00AD50AB" w:rsidRDefault="00AD50AB" w:rsidP="003C622C">
      <w:pPr>
        <w:jc w:val="both"/>
        <w:rPr>
          <w:b/>
        </w:rPr>
      </w:pPr>
      <w:r>
        <w:rPr>
          <w:b/>
          <w:noProof/>
          <w:lang w:eastAsia="es-AR"/>
        </w:rPr>
        <w:drawing>
          <wp:inline distT="0" distB="0" distL="0" distR="0" wp14:anchorId="7506E6EF" wp14:editId="0EFCE0BB">
            <wp:extent cx="1276350" cy="1276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arga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72AB7414" w14:textId="77777777" w:rsidR="003C622C" w:rsidRDefault="00000000" w:rsidP="003C622C">
      <w:pPr>
        <w:jc w:val="both"/>
        <w:rPr>
          <w:rStyle w:val="Hipervnculo"/>
        </w:rPr>
      </w:pPr>
      <w:hyperlink r:id="rId36" w:history="1">
        <w:r w:rsidR="003C622C" w:rsidRPr="003C622C">
          <w:rPr>
            <w:rStyle w:val="Hipervnculo"/>
          </w:rPr>
          <w:t>https://open.spotify.com/episode/2LHHxylDf85Hzx2e4c25BM?si=uUkQli-rS4-ssSp-Kja6xQ</w:t>
        </w:r>
      </w:hyperlink>
    </w:p>
    <w:p w14:paraId="369111DC" w14:textId="77777777" w:rsidR="00D96295" w:rsidRDefault="00D96295" w:rsidP="003C622C">
      <w:pPr>
        <w:jc w:val="both"/>
        <w:rPr>
          <w:rStyle w:val="Hipervnculo"/>
        </w:rPr>
      </w:pPr>
    </w:p>
    <w:p w14:paraId="766702A7" w14:textId="77777777" w:rsidR="00D96295" w:rsidRDefault="00D96295" w:rsidP="003C622C">
      <w:pPr>
        <w:jc w:val="both"/>
        <w:rPr>
          <w:b/>
          <w:sz w:val="24"/>
          <w:szCs w:val="24"/>
          <w:u w:val="single"/>
        </w:rPr>
      </w:pPr>
    </w:p>
    <w:p w14:paraId="68DDC9C9" w14:textId="77777777" w:rsidR="00D96295" w:rsidRPr="00D96295" w:rsidRDefault="00D96295" w:rsidP="003C622C">
      <w:pPr>
        <w:jc w:val="both"/>
        <w:rPr>
          <w:b/>
          <w:sz w:val="24"/>
          <w:szCs w:val="24"/>
          <w:u w:val="single"/>
        </w:rPr>
      </w:pPr>
      <w:r w:rsidRPr="00D96295">
        <w:rPr>
          <w:b/>
          <w:sz w:val="24"/>
          <w:szCs w:val="24"/>
          <w:u w:val="single"/>
        </w:rPr>
        <w:t>MÚSICA</w:t>
      </w:r>
    </w:p>
    <w:p w14:paraId="1F930D72" w14:textId="77777777" w:rsidR="00D96295" w:rsidRPr="00D96295" w:rsidRDefault="00D96295" w:rsidP="003C622C">
      <w:pPr>
        <w:jc w:val="both"/>
        <w:rPr>
          <w:b/>
          <w:sz w:val="24"/>
          <w:szCs w:val="24"/>
          <w:u w:val="single"/>
        </w:rPr>
      </w:pPr>
      <w:r w:rsidRPr="00D96295">
        <w:rPr>
          <w:b/>
          <w:sz w:val="24"/>
          <w:szCs w:val="24"/>
          <w:u w:val="single"/>
        </w:rPr>
        <w:t xml:space="preserve">Canción para Walter Bulacio de Mente Extraña </w:t>
      </w:r>
    </w:p>
    <w:p w14:paraId="677797B1" w14:textId="77777777" w:rsidR="00D96295" w:rsidRDefault="00000000" w:rsidP="003C622C">
      <w:pPr>
        <w:jc w:val="both"/>
        <w:rPr>
          <w:b/>
          <w:sz w:val="28"/>
          <w:szCs w:val="28"/>
          <w:u w:val="single"/>
        </w:rPr>
      </w:pPr>
      <w:hyperlink r:id="rId37" w:history="1">
        <w:r w:rsidR="00D96295" w:rsidRPr="00D96295">
          <w:rPr>
            <w:rStyle w:val="Hipervnculo"/>
          </w:rPr>
          <w:t>https://youtu.be/O7_upqEzHLg?si=3HcFJBHNpepa27-L</w:t>
        </w:r>
      </w:hyperlink>
    </w:p>
    <w:p w14:paraId="720353DD" w14:textId="77777777" w:rsidR="008B2D67" w:rsidRDefault="008B2D67" w:rsidP="003C622C">
      <w:pPr>
        <w:jc w:val="both"/>
        <w:rPr>
          <w:b/>
          <w:u w:val="single"/>
        </w:rPr>
      </w:pPr>
    </w:p>
    <w:p w14:paraId="04B53B14" w14:textId="77777777" w:rsidR="008B2D67" w:rsidRPr="008B2D67" w:rsidRDefault="008B2D67" w:rsidP="003C622C">
      <w:pPr>
        <w:jc w:val="both"/>
        <w:rPr>
          <w:b/>
          <w:u w:val="single"/>
        </w:rPr>
      </w:pPr>
      <w:r w:rsidRPr="008B2D67">
        <w:rPr>
          <w:b/>
          <w:u w:val="single"/>
        </w:rPr>
        <w:t xml:space="preserve">Ayer soñé con Walter Fabiana </w:t>
      </w:r>
      <w:proofErr w:type="spellStart"/>
      <w:r w:rsidRPr="008B2D67">
        <w:rPr>
          <w:b/>
          <w:u w:val="single"/>
        </w:rPr>
        <w:t>Cantilo</w:t>
      </w:r>
      <w:proofErr w:type="spellEnd"/>
    </w:p>
    <w:p w14:paraId="37A8100F" w14:textId="77777777" w:rsidR="008B2D67" w:rsidRPr="00D96295" w:rsidRDefault="00000000" w:rsidP="008B2D67">
      <w:pPr>
        <w:jc w:val="both"/>
        <w:rPr>
          <w:b/>
          <w:sz w:val="24"/>
          <w:szCs w:val="24"/>
          <w:u w:val="single"/>
        </w:rPr>
      </w:pPr>
      <w:hyperlink r:id="rId38" w:history="1">
        <w:r w:rsidR="008B2D67" w:rsidRPr="008B2D67">
          <w:rPr>
            <w:rStyle w:val="Hipervnculo"/>
          </w:rPr>
          <w:t>https://youtu.be/jqFCy46jYAg?si=XeSWOyFFl_69TFx7</w:t>
        </w:r>
      </w:hyperlink>
    </w:p>
    <w:p w14:paraId="457CE637" w14:textId="77777777" w:rsidR="008B2D67" w:rsidRPr="008B2D67" w:rsidRDefault="008B2D67" w:rsidP="003C622C">
      <w:pPr>
        <w:jc w:val="both"/>
        <w:rPr>
          <w:b/>
          <w:sz w:val="28"/>
          <w:szCs w:val="28"/>
          <w:u w:val="single"/>
        </w:rPr>
      </w:pPr>
    </w:p>
    <w:p w14:paraId="6398B2DB" w14:textId="77777777" w:rsidR="00D96295" w:rsidRPr="00D96295" w:rsidRDefault="00D96295" w:rsidP="003C622C">
      <w:pPr>
        <w:jc w:val="both"/>
        <w:rPr>
          <w:b/>
          <w:sz w:val="24"/>
          <w:szCs w:val="24"/>
          <w:u w:val="single"/>
        </w:rPr>
      </w:pPr>
      <w:r w:rsidRPr="00D96295">
        <w:rPr>
          <w:b/>
          <w:sz w:val="24"/>
          <w:szCs w:val="24"/>
          <w:u w:val="single"/>
        </w:rPr>
        <w:t>El Indio recuerda a Walter Bulacio  y le dedica Juguetes Perdidos (Estadio Centenario 22/04/2001)</w:t>
      </w:r>
    </w:p>
    <w:p w14:paraId="74126475" w14:textId="77777777" w:rsidR="00D96295" w:rsidRDefault="00000000" w:rsidP="00D96295">
      <w:pPr>
        <w:jc w:val="both"/>
        <w:rPr>
          <w:b/>
          <w:sz w:val="28"/>
          <w:szCs w:val="28"/>
          <w:u w:val="single"/>
        </w:rPr>
      </w:pPr>
      <w:hyperlink r:id="rId39" w:history="1">
        <w:r w:rsidR="00D96295" w:rsidRPr="00D96295">
          <w:rPr>
            <w:rStyle w:val="Hipervnculo"/>
          </w:rPr>
          <w:t>https://youtu.be/amzp1WLdKww?si=sFt38oojDM2XUT0q</w:t>
        </w:r>
      </w:hyperlink>
    </w:p>
    <w:p w14:paraId="00A4C1BC" w14:textId="77777777" w:rsidR="00D96295" w:rsidRPr="00D96295" w:rsidRDefault="00D96295" w:rsidP="00D96295">
      <w:pPr>
        <w:jc w:val="both"/>
        <w:rPr>
          <w:rFonts w:asciiTheme="majorHAnsi" w:hAnsiTheme="majorHAnsi" w:cstheme="majorHAnsi"/>
          <w:b/>
          <w:sz w:val="24"/>
          <w:szCs w:val="24"/>
          <w:u w:val="single"/>
        </w:rPr>
      </w:pPr>
      <w:r w:rsidRPr="00D96295">
        <w:rPr>
          <w:rFonts w:asciiTheme="majorHAnsi" w:eastAsia="Times New Roman" w:hAnsiTheme="majorHAnsi" w:cstheme="majorHAnsi"/>
          <w:b/>
          <w:bCs/>
          <w:color w:val="0F0F0F"/>
          <w:kern w:val="36"/>
          <w:sz w:val="24"/>
          <w:szCs w:val="24"/>
          <w:u w:val="single"/>
          <w:lang w:eastAsia="es-AR"/>
        </w:rPr>
        <w:t>Indio Solari recuerda a Walter Bulacio en sus recitales de 1991, 2000 y 2001 + Juguetes perdidos</w:t>
      </w:r>
      <w:r w:rsidR="008B2D67" w:rsidRPr="00D96295">
        <w:rPr>
          <w:rFonts w:asciiTheme="majorHAnsi" w:hAnsiTheme="majorHAnsi" w:cstheme="majorHAnsi"/>
          <w:b/>
          <w:sz w:val="24"/>
          <w:szCs w:val="24"/>
          <w:u w:val="single"/>
        </w:rPr>
        <w:t xml:space="preserve"> </w:t>
      </w:r>
    </w:p>
    <w:p w14:paraId="4BA90C0F" w14:textId="77777777" w:rsidR="00D96295" w:rsidRDefault="00000000" w:rsidP="003C622C">
      <w:pPr>
        <w:jc w:val="both"/>
        <w:rPr>
          <w:b/>
          <w:sz w:val="24"/>
          <w:szCs w:val="24"/>
          <w:u w:val="single"/>
        </w:rPr>
      </w:pPr>
      <w:hyperlink r:id="rId40" w:history="1">
        <w:r w:rsidR="008B2D67" w:rsidRPr="008B2D67">
          <w:rPr>
            <w:rStyle w:val="Hipervnculo"/>
          </w:rPr>
          <w:t>https://youtu.be/-Ep1K7Dc4CU?si=qlNcGjVvijVdK_aY</w:t>
        </w:r>
      </w:hyperlink>
    </w:p>
    <w:p w14:paraId="2F406F39" w14:textId="77777777" w:rsidR="008B2D67" w:rsidRDefault="008B2D67" w:rsidP="003C622C">
      <w:pPr>
        <w:jc w:val="both"/>
        <w:rPr>
          <w:b/>
          <w:sz w:val="24"/>
          <w:szCs w:val="24"/>
          <w:u w:val="single"/>
        </w:rPr>
      </w:pPr>
    </w:p>
    <w:p w14:paraId="55F79F7E" w14:textId="77777777" w:rsidR="00A03DC7" w:rsidRDefault="00A03DC7" w:rsidP="003C622C">
      <w:pPr>
        <w:jc w:val="both"/>
        <w:rPr>
          <w:b/>
          <w:sz w:val="24"/>
          <w:szCs w:val="24"/>
          <w:u w:val="single"/>
        </w:rPr>
      </w:pPr>
    </w:p>
    <w:p w14:paraId="17AE910C" w14:textId="77777777" w:rsidR="00A03DC7" w:rsidRDefault="00A03DC7" w:rsidP="003C622C">
      <w:pPr>
        <w:jc w:val="both"/>
        <w:rPr>
          <w:b/>
          <w:sz w:val="24"/>
          <w:szCs w:val="24"/>
          <w:u w:val="single"/>
        </w:rPr>
      </w:pPr>
    </w:p>
    <w:p w14:paraId="1EFF3EE5" w14:textId="77777777" w:rsidR="00A03DC7" w:rsidRDefault="00A03DC7" w:rsidP="003C622C">
      <w:pPr>
        <w:jc w:val="both"/>
        <w:rPr>
          <w:b/>
          <w:sz w:val="24"/>
          <w:szCs w:val="24"/>
          <w:u w:val="single"/>
        </w:rPr>
      </w:pPr>
    </w:p>
    <w:p w14:paraId="411CA03F" w14:textId="77777777" w:rsidR="00A03DC7" w:rsidRDefault="00A03DC7" w:rsidP="003C622C">
      <w:pPr>
        <w:jc w:val="both"/>
        <w:rPr>
          <w:b/>
          <w:sz w:val="24"/>
          <w:szCs w:val="24"/>
          <w:u w:val="single"/>
        </w:rPr>
      </w:pPr>
    </w:p>
    <w:p w14:paraId="023C6E8D" w14:textId="77777777" w:rsidR="00A03DC7" w:rsidRDefault="00A03DC7" w:rsidP="003C622C">
      <w:pPr>
        <w:jc w:val="both"/>
        <w:rPr>
          <w:b/>
          <w:sz w:val="16"/>
          <w:szCs w:val="16"/>
          <w:u w:val="single"/>
        </w:rPr>
      </w:pPr>
    </w:p>
    <w:p w14:paraId="6369CCA5" w14:textId="77777777" w:rsidR="00A03DC7" w:rsidRDefault="00A03DC7" w:rsidP="003C622C">
      <w:pPr>
        <w:jc w:val="both"/>
        <w:rPr>
          <w:b/>
          <w:sz w:val="16"/>
          <w:szCs w:val="16"/>
          <w:u w:val="single"/>
        </w:rPr>
      </w:pPr>
    </w:p>
    <w:p w14:paraId="6CDCC356" w14:textId="77777777" w:rsidR="00A03DC7" w:rsidRPr="00A03DC7" w:rsidRDefault="00A03DC7" w:rsidP="003C622C">
      <w:pPr>
        <w:jc w:val="both"/>
        <w:rPr>
          <w:b/>
          <w:sz w:val="16"/>
          <w:szCs w:val="16"/>
          <w:u w:val="single"/>
        </w:rPr>
      </w:pPr>
    </w:p>
    <w:p w14:paraId="6C3EB293" w14:textId="77777777" w:rsidR="00A03DC7" w:rsidRPr="00A03DC7" w:rsidRDefault="00A03DC7" w:rsidP="003C622C">
      <w:pPr>
        <w:jc w:val="both"/>
        <w:rPr>
          <w:b/>
          <w:sz w:val="16"/>
          <w:szCs w:val="16"/>
          <w:u w:val="single"/>
        </w:rPr>
      </w:pPr>
      <w:r w:rsidRPr="00A03DC7">
        <w:rPr>
          <w:b/>
          <w:sz w:val="16"/>
          <w:szCs w:val="16"/>
          <w:u w:val="single"/>
        </w:rPr>
        <w:t>El contenido de los podcast es de público conocimiento y son propiedad intelectual de sus autores</w:t>
      </w:r>
      <w:r>
        <w:rPr>
          <w:b/>
          <w:sz w:val="16"/>
          <w:szCs w:val="16"/>
          <w:u w:val="single"/>
        </w:rPr>
        <w:t xml:space="preserve"> y su contenido es de responsabilidad de los mismos</w:t>
      </w:r>
    </w:p>
    <w:sectPr w:rsidR="00A03DC7" w:rsidRPr="00A03DC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40B93"/>
    <w:multiLevelType w:val="multilevel"/>
    <w:tmpl w:val="536C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0263C6"/>
    <w:multiLevelType w:val="multilevel"/>
    <w:tmpl w:val="E0BA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7F5D32"/>
    <w:multiLevelType w:val="multilevel"/>
    <w:tmpl w:val="2424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2129278">
    <w:abstractNumId w:val="0"/>
  </w:num>
  <w:num w:numId="2" w16cid:durableId="1922324904">
    <w:abstractNumId w:val="2"/>
  </w:num>
  <w:num w:numId="3" w16cid:durableId="2002345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EF0"/>
    <w:rsid w:val="000A5482"/>
    <w:rsid w:val="00272E6E"/>
    <w:rsid w:val="00315A72"/>
    <w:rsid w:val="00321F5A"/>
    <w:rsid w:val="003C622C"/>
    <w:rsid w:val="00493EFE"/>
    <w:rsid w:val="0054093D"/>
    <w:rsid w:val="005B7EF0"/>
    <w:rsid w:val="006975C6"/>
    <w:rsid w:val="007A277A"/>
    <w:rsid w:val="008B2D67"/>
    <w:rsid w:val="00937590"/>
    <w:rsid w:val="00A03DC7"/>
    <w:rsid w:val="00AD50AB"/>
    <w:rsid w:val="00BF34C9"/>
    <w:rsid w:val="00C209A3"/>
    <w:rsid w:val="00D96295"/>
    <w:rsid w:val="00F21A96"/>
    <w:rsid w:val="00F41B8F"/>
    <w:rsid w:val="00F876E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293F1"/>
  <w15:chartTrackingRefBased/>
  <w15:docId w15:val="{7B18D8BB-CAB6-4D9E-8A13-08AE5384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B7EF0"/>
    <w:rPr>
      <w:color w:val="0563C1" w:themeColor="hyperlink"/>
      <w:u w:val="single"/>
    </w:rPr>
  </w:style>
  <w:style w:type="character" w:styleId="Hipervnculovisitado">
    <w:name w:val="FollowedHyperlink"/>
    <w:basedOn w:val="Fuentedeprrafopredeter"/>
    <w:uiPriority w:val="99"/>
    <w:semiHidden/>
    <w:unhideWhenUsed/>
    <w:rsid w:val="0054093D"/>
    <w:rPr>
      <w:color w:val="954F72" w:themeColor="followedHyperlink"/>
      <w:u w:val="single"/>
    </w:rPr>
  </w:style>
  <w:style w:type="paragraph" w:styleId="Textodeglobo">
    <w:name w:val="Balloon Text"/>
    <w:basedOn w:val="Normal"/>
    <w:link w:val="TextodegloboCar"/>
    <w:uiPriority w:val="99"/>
    <w:semiHidden/>
    <w:unhideWhenUsed/>
    <w:rsid w:val="003C62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62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205690">
      <w:bodyDiv w:val="1"/>
      <w:marLeft w:val="0"/>
      <w:marRight w:val="0"/>
      <w:marTop w:val="0"/>
      <w:marBottom w:val="0"/>
      <w:divBdr>
        <w:top w:val="none" w:sz="0" w:space="0" w:color="auto"/>
        <w:left w:val="none" w:sz="0" w:space="0" w:color="auto"/>
        <w:bottom w:val="none" w:sz="0" w:space="0" w:color="auto"/>
        <w:right w:val="none" w:sz="0" w:space="0" w:color="auto"/>
      </w:divBdr>
    </w:div>
    <w:div w:id="1081873364">
      <w:bodyDiv w:val="1"/>
      <w:marLeft w:val="0"/>
      <w:marRight w:val="0"/>
      <w:marTop w:val="0"/>
      <w:marBottom w:val="0"/>
      <w:divBdr>
        <w:top w:val="none" w:sz="0" w:space="0" w:color="auto"/>
        <w:left w:val="none" w:sz="0" w:space="0" w:color="auto"/>
        <w:bottom w:val="none" w:sz="0" w:space="0" w:color="auto"/>
        <w:right w:val="none" w:sz="0" w:space="0" w:color="auto"/>
      </w:divBdr>
    </w:div>
    <w:div w:id="1310478386">
      <w:bodyDiv w:val="1"/>
      <w:marLeft w:val="0"/>
      <w:marRight w:val="0"/>
      <w:marTop w:val="0"/>
      <w:marBottom w:val="0"/>
      <w:divBdr>
        <w:top w:val="none" w:sz="0" w:space="0" w:color="auto"/>
        <w:left w:val="none" w:sz="0" w:space="0" w:color="auto"/>
        <w:bottom w:val="none" w:sz="0" w:space="0" w:color="auto"/>
        <w:right w:val="none" w:sz="0" w:space="0" w:color="auto"/>
      </w:divBdr>
      <w:divsChild>
        <w:div w:id="908029784">
          <w:marLeft w:val="0"/>
          <w:marRight w:val="0"/>
          <w:marTop w:val="0"/>
          <w:marBottom w:val="120"/>
          <w:divBdr>
            <w:top w:val="none" w:sz="0" w:space="0" w:color="auto"/>
            <w:left w:val="none" w:sz="0" w:space="0" w:color="auto"/>
            <w:bottom w:val="none" w:sz="0" w:space="0" w:color="auto"/>
            <w:right w:val="none" w:sz="0" w:space="0" w:color="auto"/>
          </w:divBdr>
        </w:div>
        <w:div w:id="2141914384">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263539293">
              <w:marLeft w:val="0"/>
              <w:marRight w:val="0"/>
              <w:marTop w:val="0"/>
              <w:marBottom w:val="0"/>
              <w:divBdr>
                <w:top w:val="none" w:sz="0" w:space="0" w:color="auto"/>
                <w:left w:val="none" w:sz="0" w:space="0" w:color="auto"/>
                <w:bottom w:val="none" w:sz="0" w:space="0" w:color="auto"/>
                <w:right w:val="none" w:sz="0" w:space="0" w:color="auto"/>
              </w:divBdr>
              <w:divsChild>
                <w:div w:id="9323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Buenos_Aires" TargetMode="External"/><Relationship Id="rId18" Type="http://schemas.openxmlformats.org/officeDocument/2006/relationships/hyperlink" Target="https://es.wikipedia.org/wiki/Juez" TargetMode="External"/><Relationship Id="rId26" Type="http://schemas.openxmlformats.org/officeDocument/2006/relationships/hyperlink" Target="https://es.wikipedia.org/wiki/Corte_Interamericana_de_Derechos_Humanos" TargetMode="External"/><Relationship Id="rId39" Type="http://schemas.openxmlformats.org/officeDocument/2006/relationships/hyperlink" Target="https://youtu.be/amzp1WLdKww?si=sFt38oojDM2XUT0q" TargetMode="External"/><Relationship Id="rId21" Type="http://schemas.openxmlformats.org/officeDocument/2006/relationships/hyperlink" Target="https://es.wikipedia.org/wiki/Traumatismo" TargetMode="External"/><Relationship Id="rId34" Type="http://schemas.openxmlformats.org/officeDocument/2006/relationships/hyperlink" Target="https://open.spotify.com/episode/4vPfXagrjh9eZhPw7WEVlQ?si=B_aubAfZRoqxUD5LB92y2A" TargetMode="External"/><Relationship Id="rId42" Type="http://schemas.openxmlformats.org/officeDocument/2006/relationships/theme" Target="theme/theme1.xml"/><Relationship Id="rId7" Type="http://schemas.openxmlformats.org/officeDocument/2006/relationships/hyperlink" Target="https://es.wikipedia.org/wiki/Buenos_Aires" TargetMode="External"/><Relationship Id="rId2" Type="http://schemas.openxmlformats.org/officeDocument/2006/relationships/numbering" Target="numbering.xml"/><Relationship Id="rId16" Type="http://schemas.openxmlformats.org/officeDocument/2006/relationships/hyperlink" Target="https://es.wikipedia.org/w/index.php?title=Ley_N%C2%BA_10.903_de_Patronato_de_Menores&amp;action=edit&amp;redlink=1" TargetMode="External"/><Relationship Id="rId20" Type="http://schemas.openxmlformats.org/officeDocument/2006/relationships/hyperlink" Target="https://es.wikipedia.org/wiki/Hospital_Pirovano" TargetMode="External"/><Relationship Id="rId29" Type="http://schemas.openxmlformats.org/officeDocument/2006/relationships/image" Target="media/image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s.wikipedia.org/wiki/Patricio_Rey_y_sus_Redonditos_de_Ricota" TargetMode="External"/><Relationship Id="rId24" Type="http://schemas.openxmlformats.org/officeDocument/2006/relationships/hyperlink" Target="https://es.wikipedia.org/wiki/Estado_argentino" TargetMode="External"/><Relationship Id="rId32" Type="http://schemas.openxmlformats.org/officeDocument/2006/relationships/hyperlink" Target="https://open.spotify.com/episode/625P8Q2bmAUuIzjKqXCWHl?si=LO2_3TdWTImhOfCi9fXquA%0A" TargetMode="External"/><Relationship Id="rId37" Type="http://schemas.openxmlformats.org/officeDocument/2006/relationships/hyperlink" Target="https://youtu.be/O7_upqEzHLg?si=3HcFJBHNpepa27-L" TargetMode="External"/><Relationship Id="rId40" Type="http://schemas.openxmlformats.org/officeDocument/2006/relationships/hyperlink" Target="https://youtu.be/-Ep1K7Dc4CU?si=qlNcGjVvijVdK_aY" TargetMode="External"/><Relationship Id="rId5" Type="http://schemas.openxmlformats.org/officeDocument/2006/relationships/webSettings" Target="webSettings.xml"/><Relationship Id="rId15" Type="http://schemas.openxmlformats.org/officeDocument/2006/relationships/hyperlink" Target="https://es.wikipedia.org/wiki/Comisario" TargetMode="External"/><Relationship Id="rId23" Type="http://schemas.openxmlformats.org/officeDocument/2006/relationships/hyperlink" Target="https://es.wikipedia.org/wiki/Autopsia" TargetMode="External"/><Relationship Id="rId28" Type="http://schemas.openxmlformats.org/officeDocument/2006/relationships/hyperlink" Target="https://es.wikipedia.org/wiki/Carmen_Argibay" TargetMode="External"/><Relationship Id="rId36" Type="http://schemas.openxmlformats.org/officeDocument/2006/relationships/hyperlink" Target="https://open.spotify.com/episode/2LHHxylDf85Hzx2e4c25BM?si=uUkQli-rS4-ssSp-Kja6xQ" TargetMode="External"/><Relationship Id="rId10" Type="http://schemas.openxmlformats.org/officeDocument/2006/relationships/hyperlink" Target="https://es.wikipedia.org/wiki/Corte_Interamericana_de_Derechos_Humanos" TargetMode="External"/><Relationship Id="rId19" Type="http://schemas.openxmlformats.org/officeDocument/2006/relationships/hyperlink" Target="https://es.wikipedia.org/wiki/Competencia_judicial"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s.wikipedia.org/wiki/Polic%C3%ADa_Federal_Argentina" TargetMode="External"/><Relationship Id="rId14" Type="http://schemas.openxmlformats.org/officeDocument/2006/relationships/hyperlink" Target="https://es.wikipedia.org/wiki/Razzia" TargetMode="External"/><Relationship Id="rId22" Type="http://schemas.openxmlformats.org/officeDocument/2006/relationships/hyperlink" Target="https://es.wikipedia.org/wiki/Cr%C3%A1neo" TargetMode="External"/><Relationship Id="rId27" Type="http://schemas.openxmlformats.org/officeDocument/2006/relationships/hyperlink" Target="http://www.cidh.org/annualrep/2000sp/cap.3b.htm" TargetMode="External"/><Relationship Id="rId30" Type="http://schemas.openxmlformats.org/officeDocument/2006/relationships/hyperlink" Target="https://ute.org.ar/de-esto-si-se-habla-2/" TargetMode="External"/><Relationship Id="rId35" Type="http://schemas.openxmlformats.org/officeDocument/2006/relationships/image" Target="media/image5.jpg"/><Relationship Id="rId8" Type="http://schemas.openxmlformats.org/officeDocument/2006/relationships/hyperlink" Target="https://es.wikipedia.org/wiki/Argentina" TargetMode="External"/><Relationship Id="rId3" Type="http://schemas.openxmlformats.org/officeDocument/2006/relationships/styles" Target="styles.xml"/><Relationship Id="rId12" Type="http://schemas.openxmlformats.org/officeDocument/2006/relationships/hyperlink" Target="https://es.wikipedia.org/wiki/Estadio_Obras_Sanitarias" TargetMode="External"/><Relationship Id="rId17" Type="http://schemas.openxmlformats.org/officeDocument/2006/relationships/hyperlink" Target="https://es.wikipedia.org/wiki/Menor_de_edad" TargetMode="External"/><Relationship Id="rId25" Type="http://schemas.openxmlformats.org/officeDocument/2006/relationships/hyperlink" Target="https://es.wikipedia.org/wiki/Comisi%C3%B3n_Interamericana_de_Derechos_Humanos" TargetMode="External"/><Relationship Id="rId33" Type="http://schemas.openxmlformats.org/officeDocument/2006/relationships/image" Target="media/image4.jpeg"/><Relationship Id="rId38" Type="http://schemas.openxmlformats.org/officeDocument/2006/relationships/hyperlink" Target="https://youtu.be/jqFCy46jYAg?si=XeSWOyFFl_69TFx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81C25-634D-4521-A899-162A9B948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5</Pages>
  <Words>1663</Words>
  <Characters>9148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Godoy</dc:creator>
  <cp:keywords/>
  <dc:description/>
  <cp:lastModifiedBy>Carlos Surraco</cp:lastModifiedBy>
  <cp:revision>12</cp:revision>
  <dcterms:created xsi:type="dcterms:W3CDTF">2024-04-22T14:29:00Z</dcterms:created>
  <dcterms:modified xsi:type="dcterms:W3CDTF">2024-04-25T18:03:00Z</dcterms:modified>
</cp:coreProperties>
</file>